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1EF3" w14:textId="4A1519B4" w:rsidR="00E07705" w:rsidRDefault="0076794B" w:rsidP="00E07705">
      <w:pPr>
        <w:ind w:left="360"/>
        <w:jc w:val="center"/>
        <w:rPr>
          <w:b/>
          <w:color w:val="4AA55B"/>
          <w:szCs w:val="24"/>
        </w:rPr>
      </w:pPr>
      <w:r>
        <w:rPr>
          <w:b/>
          <w:sz w:val="24"/>
          <w:u w:val="single"/>
        </w:rPr>
        <w:t>PŘÍLOHA 4: ŠABLONA DOHODY MEZI PŘÍJEMCI GRANTU A ÚČASTNÍKY</w:t>
      </w:r>
      <w:r w:rsidR="00E07705" w:rsidRPr="00066043">
        <w:rPr>
          <w:rStyle w:val="FootnoteReference"/>
          <w:b/>
          <w:sz w:val="24"/>
          <w:szCs w:val="24"/>
          <w:u w:val="single"/>
          <w:vertAlign w:val="superscript"/>
          <w:lang w:val="en-US"/>
        </w:rPr>
        <w:footnoteReference w:id="2"/>
      </w:r>
    </w:p>
    <w:p w14:paraId="555D7DE5" w14:textId="0E6FB3B7" w:rsidR="00154ABE" w:rsidRPr="00066043" w:rsidRDefault="00154ABE" w:rsidP="00741491">
      <w:pPr>
        <w:jc w:val="center"/>
        <w:rPr>
          <w:b/>
          <w:sz w:val="24"/>
          <w:szCs w:val="24"/>
          <w:u w:val="single"/>
          <w:lang w:val="en-GB"/>
        </w:rPr>
      </w:pPr>
    </w:p>
    <w:p w14:paraId="54D99AF5" w14:textId="77777777" w:rsidR="0076794B" w:rsidRPr="0076794B" w:rsidRDefault="0076794B" w:rsidP="00741491">
      <w:pPr>
        <w:jc w:val="center"/>
        <w:rPr>
          <w:b/>
          <w:color w:val="0000FF"/>
          <w:sz w:val="24"/>
          <w:szCs w:val="24"/>
          <w:u w:val="single"/>
          <w:lang w:val="en-US"/>
        </w:rPr>
      </w:pPr>
    </w:p>
    <w:p w14:paraId="3B1A8C36" w14:textId="091CB72D" w:rsidR="00741491" w:rsidRDefault="00E07705" w:rsidP="00741491">
      <w:pPr>
        <w:jc w:val="center"/>
        <w:rPr>
          <w:b/>
          <w:sz w:val="24"/>
          <w:szCs w:val="24"/>
          <w:u w:val="single"/>
        </w:rPr>
      </w:pPr>
      <w:r>
        <w:rPr>
          <w:b/>
          <w:sz w:val="24"/>
          <w:u w:val="single"/>
        </w:rPr>
        <w:t>DOHODA O DOBROVOLNICKÉ ČINNOSTI – EVROPSKÝ SBOR SOLIDARITY</w:t>
      </w:r>
    </w:p>
    <w:p w14:paraId="2DABED80" w14:textId="74C0A157" w:rsidR="0026043F" w:rsidRDefault="0026043F" w:rsidP="00741491">
      <w:pPr>
        <w:jc w:val="center"/>
        <w:rPr>
          <w:b/>
          <w:sz w:val="24"/>
          <w:szCs w:val="24"/>
        </w:rPr>
      </w:pPr>
      <w:r>
        <w:rPr>
          <w:b/>
          <w:sz w:val="24"/>
        </w:rPr>
        <w:t>Projekt [</w:t>
      </w:r>
      <w:r>
        <w:rPr>
          <w:b/>
          <w:snapToGrid/>
          <w:sz w:val="24"/>
          <w:highlight w:val="lightGray"/>
        </w:rPr>
        <w:t>uveďte číslo</w:t>
      </w:r>
      <w:r>
        <w:rPr>
          <w:b/>
          <w:sz w:val="24"/>
        </w:rPr>
        <w:t>] – [</w:t>
      </w:r>
      <w:r>
        <w:rPr>
          <w:b/>
          <w:snapToGrid/>
          <w:sz w:val="24"/>
          <w:highlight w:val="lightGray"/>
        </w:rPr>
        <w:t>uveďte název</w:t>
      </w:r>
      <w:r>
        <w:rPr>
          <w:b/>
          <w:sz w:val="24"/>
        </w:rPr>
        <w:t>]</w:t>
      </w:r>
    </w:p>
    <w:p w14:paraId="0481B9FB" w14:textId="77777777" w:rsidR="00315E8C" w:rsidRDefault="002E24F7" w:rsidP="00F7499A">
      <w:pPr>
        <w:jc w:val="center"/>
        <w:rPr>
          <w:b/>
          <w:sz w:val="24"/>
          <w:szCs w:val="24"/>
        </w:rPr>
      </w:pPr>
      <w:r>
        <w:rPr>
          <w:b/>
          <w:sz w:val="24"/>
        </w:rPr>
        <w:t xml:space="preserve"> </w:t>
      </w:r>
    </w:p>
    <w:p w14:paraId="300274CC" w14:textId="77777777" w:rsidR="00E07705" w:rsidRPr="00E07705" w:rsidRDefault="00E07705" w:rsidP="00066043">
      <w:pPr>
        <w:pStyle w:val="Heading1"/>
        <w:numPr>
          <w:ilvl w:val="0"/>
          <w:numId w:val="0"/>
        </w:numPr>
        <w:rPr>
          <w:rFonts w:ascii="Times New Roman Bold" w:eastAsia="SimSun" w:hAnsi="Times New Roman Bold" w:hint="eastAsia"/>
          <w:bCs/>
          <w:caps/>
          <w:snapToGrid/>
          <w:szCs w:val="28"/>
          <w:u w:val="single"/>
        </w:rPr>
      </w:pPr>
      <w:bookmarkStart w:id="0" w:name="_Toc61784233"/>
      <w:bookmarkStart w:id="1" w:name="_Toc61794566"/>
      <w:bookmarkStart w:id="2" w:name="_Toc73262971"/>
      <w:bookmarkStart w:id="3" w:name="_Toc120627630"/>
      <w:r>
        <w:rPr>
          <w:u w:val="single"/>
        </w:rPr>
        <w:t>PREAMBULE</w:t>
      </w:r>
      <w:bookmarkEnd w:id="0"/>
      <w:bookmarkEnd w:id="1"/>
      <w:bookmarkEnd w:id="2"/>
      <w:bookmarkEnd w:id="3"/>
    </w:p>
    <w:p w14:paraId="69478E8F" w14:textId="77777777" w:rsidR="00E07705" w:rsidRPr="00E07705" w:rsidRDefault="00E07705" w:rsidP="00E07705">
      <w:pPr>
        <w:spacing w:after="200"/>
        <w:jc w:val="both"/>
        <w:rPr>
          <w:rFonts w:eastAsia="Calibri"/>
          <w:snapToGrid/>
          <w:sz w:val="24"/>
          <w:szCs w:val="24"/>
        </w:rPr>
      </w:pPr>
      <w:r>
        <w:rPr>
          <w:snapToGrid/>
          <w:sz w:val="24"/>
        </w:rPr>
        <w:t xml:space="preserve">Tuto </w:t>
      </w:r>
      <w:r>
        <w:rPr>
          <w:b/>
          <w:snapToGrid/>
          <w:sz w:val="24"/>
        </w:rPr>
        <w:t>dohodu</w:t>
      </w:r>
      <w:r>
        <w:rPr>
          <w:snapToGrid/>
          <w:sz w:val="24"/>
        </w:rPr>
        <w:t xml:space="preserve"> (dále jen „dohoda“) </w:t>
      </w:r>
      <w:r>
        <w:rPr>
          <w:b/>
          <w:snapToGrid/>
          <w:sz w:val="24"/>
        </w:rPr>
        <w:t>mezi sebou</w:t>
      </w:r>
      <w:r>
        <w:rPr>
          <w:snapToGrid/>
          <w:sz w:val="24"/>
        </w:rPr>
        <w:t xml:space="preserve"> uzavírají tyto strany: </w:t>
      </w:r>
    </w:p>
    <w:p w14:paraId="79350157" w14:textId="77777777" w:rsidR="00E07705" w:rsidRPr="00E07705" w:rsidRDefault="00E07705" w:rsidP="00E07705">
      <w:pPr>
        <w:spacing w:after="200"/>
        <w:jc w:val="both"/>
        <w:rPr>
          <w:rFonts w:eastAsia="Calibri"/>
          <w:b/>
          <w:snapToGrid/>
          <w:sz w:val="24"/>
          <w:szCs w:val="24"/>
        </w:rPr>
      </w:pPr>
      <w:r>
        <w:rPr>
          <w:b/>
          <w:snapToGrid/>
          <w:sz w:val="24"/>
        </w:rPr>
        <w:t>na jedné straně</w:t>
      </w:r>
    </w:p>
    <w:p w14:paraId="018152A8" w14:textId="773A5D2C" w:rsidR="00E07705" w:rsidRPr="00E07705" w:rsidRDefault="00E07705" w:rsidP="00E07705">
      <w:pPr>
        <w:widowControl w:val="0"/>
        <w:spacing w:after="180"/>
        <w:jc w:val="both"/>
        <w:rPr>
          <w:rFonts w:eastAsia="Calibri"/>
          <w:i/>
          <w:iCs/>
          <w:snapToGrid/>
          <w:color w:val="4AA55B"/>
          <w:sz w:val="24"/>
          <w:szCs w:val="24"/>
        </w:rPr>
      </w:pPr>
      <w:r>
        <w:rPr>
          <w:b/>
          <w:snapToGrid/>
          <w:sz w:val="24"/>
        </w:rPr>
        <w:t>organizace</w:t>
      </w:r>
      <w:r>
        <w:rPr>
          <w:snapToGrid/>
          <w:sz w:val="24"/>
        </w:rPr>
        <w:t xml:space="preserve"> (dále jen „organizace“),</w:t>
      </w:r>
    </w:p>
    <w:p w14:paraId="594CA7CF" w14:textId="6061BDC0" w:rsidR="00E07705" w:rsidRPr="00E07705" w:rsidRDefault="00E07705" w:rsidP="00E07705">
      <w:pPr>
        <w:widowControl w:val="0"/>
        <w:spacing w:after="180"/>
        <w:jc w:val="both"/>
        <w:rPr>
          <w:rFonts w:eastAsia="Calibri"/>
          <w:snapToGrid/>
          <w:sz w:val="24"/>
          <w:szCs w:val="24"/>
        </w:rPr>
      </w:pPr>
      <w:r>
        <w:rPr>
          <w:snapToGrid/>
          <w:sz w:val="24"/>
        </w:rPr>
        <w:t>[</w:t>
      </w:r>
      <w:r>
        <w:rPr>
          <w:snapToGrid/>
          <w:sz w:val="24"/>
          <w:highlight w:val="lightGray"/>
        </w:rPr>
        <w:t>úplný oficiální název podpůrné organizace / hostitelské organizace</w:t>
      </w:r>
      <w:r>
        <w:rPr>
          <w:snapToGrid/>
          <w:sz w:val="24"/>
        </w:rPr>
        <w:t>]</w:t>
      </w:r>
    </w:p>
    <w:p w14:paraId="6CCE938E" w14:textId="77777777" w:rsidR="00E07705" w:rsidRPr="00E07705" w:rsidRDefault="00E07705" w:rsidP="00E07705">
      <w:pPr>
        <w:widowControl w:val="0"/>
        <w:spacing w:after="180"/>
        <w:jc w:val="both"/>
        <w:rPr>
          <w:rFonts w:eastAsia="Calibri"/>
          <w:snapToGrid/>
          <w:sz w:val="24"/>
          <w:szCs w:val="24"/>
        </w:rPr>
      </w:pPr>
      <w:r>
        <w:rPr>
          <w:snapToGrid/>
          <w:sz w:val="24"/>
        </w:rPr>
        <w:t>[</w:t>
      </w:r>
      <w:r>
        <w:rPr>
          <w:snapToGrid/>
          <w:sz w:val="24"/>
          <w:highlight w:val="lightGray"/>
        </w:rPr>
        <w:t>oficiální právní forma</w:t>
      </w:r>
      <w:r>
        <w:rPr>
          <w:snapToGrid/>
          <w:sz w:val="24"/>
        </w:rPr>
        <w:t>]</w:t>
      </w:r>
    </w:p>
    <w:p w14:paraId="4BFF8E58" w14:textId="77777777" w:rsidR="00E07705" w:rsidRPr="00E07705" w:rsidRDefault="00E07705" w:rsidP="00E07705">
      <w:pPr>
        <w:widowControl w:val="0"/>
        <w:spacing w:after="180"/>
        <w:jc w:val="both"/>
        <w:rPr>
          <w:rFonts w:eastAsia="Calibri"/>
          <w:snapToGrid/>
          <w:sz w:val="24"/>
          <w:szCs w:val="24"/>
        </w:rPr>
      </w:pPr>
      <w:r>
        <w:rPr>
          <w:snapToGrid/>
          <w:sz w:val="24"/>
        </w:rPr>
        <w:t>[</w:t>
      </w:r>
      <w:r>
        <w:rPr>
          <w:snapToGrid/>
          <w:sz w:val="24"/>
          <w:highlight w:val="lightGray"/>
        </w:rPr>
        <w:t>oficiální identifikační číslo</w:t>
      </w:r>
      <w:r>
        <w:rPr>
          <w:snapToGrid/>
          <w:sz w:val="24"/>
        </w:rPr>
        <w:t>]</w:t>
      </w:r>
    </w:p>
    <w:p w14:paraId="2604A534" w14:textId="77777777" w:rsidR="00E07705" w:rsidRPr="00E07705" w:rsidRDefault="00E07705" w:rsidP="00E07705">
      <w:pPr>
        <w:widowControl w:val="0"/>
        <w:spacing w:after="180"/>
        <w:jc w:val="both"/>
        <w:rPr>
          <w:rFonts w:eastAsia="Calibri"/>
          <w:snapToGrid/>
          <w:sz w:val="24"/>
          <w:szCs w:val="24"/>
        </w:rPr>
      </w:pPr>
      <w:r>
        <w:rPr>
          <w:snapToGrid/>
          <w:sz w:val="24"/>
        </w:rPr>
        <w:t>[</w:t>
      </w:r>
      <w:r>
        <w:rPr>
          <w:snapToGrid/>
          <w:sz w:val="24"/>
          <w:highlight w:val="lightGray"/>
        </w:rPr>
        <w:t>úplná oficiální adresa</w:t>
      </w:r>
      <w:r>
        <w:rPr>
          <w:snapToGrid/>
          <w:sz w:val="24"/>
        </w:rPr>
        <w:t>]</w:t>
      </w:r>
    </w:p>
    <w:p w14:paraId="1B429090" w14:textId="268F1A75" w:rsidR="00E07705" w:rsidRDefault="00E07705" w:rsidP="00E07705">
      <w:pPr>
        <w:widowControl w:val="0"/>
        <w:spacing w:after="180"/>
        <w:jc w:val="both"/>
        <w:rPr>
          <w:rFonts w:eastAsia="Calibri"/>
          <w:snapToGrid/>
          <w:sz w:val="24"/>
          <w:szCs w:val="24"/>
        </w:rPr>
      </w:pPr>
      <w:r>
        <w:rPr>
          <w:snapToGrid/>
          <w:sz w:val="24"/>
        </w:rPr>
        <w:t>[</w:t>
      </w:r>
      <w:r>
        <w:rPr>
          <w:snapToGrid/>
          <w:sz w:val="24"/>
          <w:highlight w:val="lightGray"/>
        </w:rPr>
        <w:t>číslo OID</w:t>
      </w:r>
      <w:r>
        <w:rPr>
          <w:snapToGrid/>
          <w:sz w:val="24"/>
        </w:rPr>
        <w:t xml:space="preserve">], </w:t>
      </w:r>
    </w:p>
    <w:p w14:paraId="63B0A187" w14:textId="25AFAD92" w:rsidR="00E07705" w:rsidRPr="00E07705" w:rsidRDefault="00E07705" w:rsidP="00E07705">
      <w:pPr>
        <w:widowControl w:val="0"/>
        <w:spacing w:after="180"/>
        <w:jc w:val="both"/>
        <w:rPr>
          <w:rFonts w:eastAsia="Calibri"/>
          <w:snapToGrid/>
          <w:sz w:val="24"/>
          <w:szCs w:val="24"/>
        </w:rPr>
      </w:pPr>
      <w:r>
        <w:rPr>
          <w:snapToGrid/>
          <w:sz w:val="24"/>
        </w:rPr>
        <w:t>zastoupená pro účely podpisu této dohody panem/paní [</w:t>
      </w:r>
      <w:r>
        <w:rPr>
          <w:snapToGrid/>
          <w:sz w:val="24"/>
          <w:highlight w:val="lightGray"/>
        </w:rPr>
        <w:t>jméno a příjmení, funkce</w:t>
      </w:r>
      <w:r>
        <w:rPr>
          <w:snapToGrid/>
          <w:sz w:val="24"/>
        </w:rPr>
        <w:t xml:space="preserve">], </w:t>
      </w:r>
    </w:p>
    <w:p w14:paraId="0A31A13F" w14:textId="77777777" w:rsidR="00E07705" w:rsidRPr="00E07705" w:rsidRDefault="00E07705" w:rsidP="00E07705">
      <w:pPr>
        <w:spacing w:after="200"/>
        <w:jc w:val="both"/>
        <w:rPr>
          <w:rFonts w:eastAsia="Calibri"/>
          <w:b/>
          <w:snapToGrid/>
          <w:sz w:val="24"/>
          <w:szCs w:val="24"/>
        </w:rPr>
      </w:pPr>
      <w:r>
        <w:rPr>
          <w:b/>
          <w:snapToGrid/>
          <w:sz w:val="24"/>
        </w:rPr>
        <w:t xml:space="preserve">a </w:t>
      </w:r>
    </w:p>
    <w:p w14:paraId="2D03A243" w14:textId="77777777" w:rsidR="00E07705" w:rsidRPr="00E07705" w:rsidRDefault="00E07705" w:rsidP="00E07705">
      <w:pPr>
        <w:spacing w:after="200"/>
        <w:jc w:val="both"/>
        <w:rPr>
          <w:rFonts w:eastAsia="Calibri"/>
          <w:b/>
          <w:snapToGrid/>
          <w:sz w:val="24"/>
          <w:szCs w:val="24"/>
        </w:rPr>
      </w:pPr>
      <w:r>
        <w:rPr>
          <w:b/>
          <w:snapToGrid/>
          <w:sz w:val="24"/>
        </w:rPr>
        <w:t>na straně druhé</w:t>
      </w:r>
    </w:p>
    <w:p w14:paraId="7F74BCE7" w14:textId="78CA7782" w:rsidR="00E07705" w:rsidRPr="00E07705" w:rsidRDefault="00E07705" w:rsidP="00E07705">
      <w:pPr>
        <w:spacing w:after="200"/>
        <w:jc w:val="both"/>
        <w:rPr>
          <w:rFonts w:eastAsia="Calibri"/>
          <w:snapToGrid/>
          <w:sz w:val="24"/>
          <w:szCs w:val="24"/>
        </w:rPr>
      </w:pPr>
      <w:r>
        <w:rPr>
          <w:b/>
          <w:snapToGrid/>
          <w:sz w:val="24"/>
        </w:rPr>
        <w:t>účastník</w:t>
      </w:r>
      <w:r>
        <w:rPr>
          <w:snapToGrid/>
          <w:sz w:val="24"/>
        </w:rPr>
        <w:t>:</w:t>
      </w:r>
    </w:p>
    <w:p w14:paraId="3C7FDE95" w14:textId="6AA42093" w:rsidR="00E07705" w:rsidRPr="00E07705" w:rsidRDefault="00E07705" w:rsidP="00E07705">
      <w:pPr>
        <w:spacing w:after="200"/>
        <w:jc w:val="both"/>
        <w:rPr>
          <w:rFonts w:eastAsia="Calibri"/>
          <w:snapToGrid/>
          <w:sz w:val="24"/>
          <w:szCs w:val="24"/>
        </w:rPr>
      </w:pPr>
      <w:r>
        <w:rPr>
          <w:snapToGrid/>
          <w:sz w:val="24"/>
        </w:rPr>
        <w:t>[</w:t>
      </w:r>
      <w:r>
        <w:rPr>
          <w:b/>
          <w:snapToGrid/>
          <w:sz w:val="24"/>
          <w:highlight w:val="lightGray"/>
        </w:rPr>
        <w:t>jméno a příjmení</w:t>
      </w:r>
      <w:r>
        <w:rPr>
          <w:snapToGrid/>
          <w:sz w:val="24"/>
        </w:rPr>
        <w:t>, se sídlem na adrese [</w:t>
      </w:r>
      <w:r>
        <w:rPr>
          <w:snapToGrid/>
          <w:sz w:val="24"/>
          <w:highlight w:val="lightGray"/>
        </w:rPr>
        <w:t>úplná oficiální adresa</w:t>
      </w:r>
      <w:r>
        <w:rPr>
          <w:snapToGrid/>
          <w:sz w:val="24"/>
        </w:rPr>
        <w:t>]</w:t>
      </w:r>
      <w:r w:rsidR="002326D3">
        <w:rPr>
          <w:snapToGrid/>
          <w:sz w:val="24"/>
        </w:rPr>
        <w:t>]</w:t>
      </w:r>
    </w:p>
    <w:p w14:paraId="518030DF" w14:textId="07AFA305" w:rsidR="00E07705" w:rsidRPr="00E07705" w:rsidRDefault="00E07705" w:rsidP="00E07705">
      <w:pPr>
        <w:spacing w:after="200"/>
        <w:jc w:val="both"/>
        <w:rPr>
          <w:rFonts w:eastAsia="Calibri"/>
          <w:snapToGrid/>
          <w:sz w:val="24"/>
          <w:szCs w:val="24"/>
        </w:rPr>
      </w:pPr>
      <w:r>
        <w:rPr>
          <w:snapToGrid/>
          <w:sz w:val="24"/>
        </w:rPr>
        <w:t>[</w:t>
      </w:r>
      <w:r>
        <w:rPr>
          <w:snapToGrid/>
          <w:sz w:val="24"/>
          <w:highlight w:val="lightGray"/>
        </w:rPr>
        <w:t>telefonní číslo</w:t>
      </w:r>
      <w:r>
        <w:rPr>
          <w:snapToGrid/>
          <w:sz w:val="24"/>
        </w:rPr>
        <w:t>]</w:t>
      </w:r>
    </w:p>
    <w:p w14:paraId="3DDFAC62" w14:textId="27417CF4" w:rsidR="00E07705" w:rsidRDefault="00E07705" w:rsidP="00E07705">
      <w:pPr>
        <w:spacing w:after="200"/>
        <w:jc w:val="both"/>
        <w:rPr>
          <w:rFonts w:eastAsia="Calibri"/>
          <w:snapToGrid/>
          <w:sz w:val="24"/>
          <w:szCs w:val="24"/>
        </w:rPr>
      </w:pPr>
      <w:r>
        <w:rPr>
          <w:snapToGrid/>
          <w:sz w:val="24"/>
        </w:rPr>
        <w:t>[</w:t>
      </w:r>
      <w:r>
        <w:rPr>
          <w:snapToGrid/>
          <w:sz w:val="24"/>
          <w:highlight w:val="lightGray"/>
        </w:rPr>
        <w:t>e-mailová adresa</w:t>
      </w:r>
      <w:r>
        <w:rPr>
          <w:snapToGrid/>
          <w:sz w:val="24"/>
        </w:rPr>
        <w:t xml:space="preserve">] </w:t>
      </w:r>
    </w:p>
    <w:p w14:paraId="1663737C" w14:textId="626B467C" w:rsidR="00C570E6" w:rsidRPr="00E07705" w:rsidRDefault="00C570E6" w:rsidP="00E07705">
      <w:pPr>
        <w:spacing w:after="200"/>
        <w:jc w:val="both"/>
        <w:rPr>
          <w:rFonts w:eastAsia="Calibri"/>
          <w:snapToGrid/>
          <w:sz w:val="24"/>
          <w:szCs w:val="24"/>
        </w:rPr>
      </w:pPr>
      <w:r>
        <w:rPr>
          <w:snapToGrid/>
          <w:sz w:val="24"/>
        </w:rPr>
        <w:t>[</w:t>
      </w:r>
      <w:r>
        <w:rPr>
          <w:snapToGrid/>
          <w:sz w:val="24"/>
          <w:highlight w:val="lightGray"/>
        </w:rPr>
        <w:t>státní příslušnost</w:t>
      </w:r>
      <w:r>
        <w:rPr>
          <w:snapToGrid/>
          <w:sz w:val="24"/>
        </w:rPr>
        <w:t>]</w:t>
      </w:r>
    </w:p>
    <w:p w14:paraId="48E50F7B" w14:textId="5130E44E" w:rsidR="00E07705" w:rsidRDefault="00E07705" w:rsidP="00E07705">
      <w:pPr>
        <w:spacing w:after="200"/>
        <w:jc w:val="both"/>
        <w:rPr>
          <w:rFonts w:eastAsia="Calibri"/>
          <w:snapToGrid/>
          <w:sz w:val="24"/>
          <w:szCs w:val="24"/>
        </w:rPr>
      </w:pPr>
      <w:r>
        <w:rPr>
          <w:snapToGrid/>
          <w:sz w:val="24"/>
        </w:rPr>
        <w:t>[</w:t>
      </w:r>
      <w:r>
        <w:rPr>
          <w:snapToGrid/>
          <w:sz w:val="24"/>
          <w:highlight w:val="lightGray"/>
        </w:rPr>
        <w:t>pohlaví: muž/žena/jiné</w:t>
      </w:r>
      <w:r>
        <w:rPr>
          <w:snapToGrid/>
          <w:sz w:val="24"/>
        </w:rPr>
        <w:t>]</w:t>
      </w:r>
    </w:p>
    <w:p w14:paraId="5BB35C4D" w14:textId="486DF6A0" w:rsidR="00550E45" w:rsidRDefault="00550E45" w:rsidP="00E07705">
      <w:pPr>
        <w:spacing w:after="200"/>
        <w:jc w:val="both"/>
        <w:rPr>
          <w:rFonts w:eastAsia="Calibri"/>
          <w:snapToGrid/>
          <w:sz w:val="24"/>
          <w:szCs w:val="24"/>
        </w:rPr>
      </w:pPr>
      <w:r>
        <w:rPr>
          <w:snapToGrid/>
          <w:sz w:val="24"/>
        </w:rPr>
        <w:t>[</w:t>
      </w:r>
      <w:r>
        <w:rPr>
          <w:snapToGrid/>
          <w:sz w:val="24"/>
          <w:highlight w:val="lightGray"/>
        </w:rPr>
        <w:t>datum narození: dd/mm/rrrr</w:t>
      </w:r>
      <w:r>
        <w:rPr>
          <w:snapToGrid/>
          <w:sz w:val="24"/>
        </w:rPr>
        <w:t>]</w:t>
      </w:r>
    </w:p>
    <w:p w14:paraId="640E7088" w14:textId="6F36E48F" w:rsidR="00550E45" w:rsidRDefault="00550E45" w:rsidP="00E07705">
      <w:pPr>
        <w:spacing w:after="200"/>
        <w:jc w:val="both"/>
        <w:rPr>
          <w:rFonts w:eastAsia="Calibri"/>
          <w:snapToGrid/>
          <w:sz w:val="24"/>
          <w:szCs w:val="24"/>
        </w:rPr>
      </w:pPr>
      <w:r>
        <w:rPr>
          <w:snapToGrid/>
          <w:sz w:val="24"/>
        </w:rPr>
        <w:t>[</w:t>
      </w:r>
      <w:r>
        <w:rPr>
          <w:snapToGrid/>
          <w:sz w:val="24"/>
          <w:highlight w:val="lightGray"/>
        </w:rPr>
        <w:t>PRN</w:t>
      </w:r>
      <w:r w:rsidR="009C395B" w:rsidRPr="006F23AD">
        <w:rPr>
          <w:rFonts w:eastAsia="Calibri"/>
          <w:snapToGrid/>
          <w:sz w:val="24"/>
          <w:szCs w:val="24"/>
          <w:highlight w:val="lightGray"/>
          <w:vertAlign w:val="superscript"/>
          <w:lang w:val="en-GB" w:eastAsia="en-US"/>
        </w:rPr>
        <w:footnoteReference w:id="3"/>
      </w:r>
      <w:r>
        <w:rPr>
          <w:snapToGrid/>
          <w:sz w:val="24"/>
        </w:rPr>
        <w:t>:</w:t>
      </w:r>
      <w:r w:rsidR="002326D3">
        <w:rPr>
          <w:snapToGrid/>
          <w:sz w:val="24"/>
        </w:rPr>
        <w:t xml:space="preserve"> </w:t>
      </w:r>
      <w:r>
        <w:rPr>
          <w:snapToGrid/>
          <w:sz w:val="24"/>
        </w:rPr>
        <w:t>]</w:t>
      </w:r>
    </w:p>
    <w:p w14:paraId="70FDC32C" w14:textId="4708676C" w:rsidR="00C12237" w:rsidRDefault="00E07705" w:rsidP="00E07705">
      <w:pPr>
        <w:spacing w:after="200"/>
        <w:jc w:val="both"/>
        <w:rPr>
          <w:snapToGrid/>
          <w:sz w:val="24"/>
          <w:szCs w:val="24"/>
        </w:rPr>
      </w:pPr>
      <w:r>
        <w:rPr>
          <w:snapToGrid/>
          <w:sz w:val="24"/>
        </w:rPr>
        <w:t xml:space="preserve">Výše uvedené strany se dohodly na uzavření dohody za níže uvedených podmínek. </w:t>
      </w:r>
    </w:p>
    <w:p w14:paraId="32153D04" w14:textId="34024976" w:rsidR="001F1C6C" w:rsidRPr="001F1C6C" w:rsidRDefault="001F1C6C" w:rsidP="00066043">
      <w:pPr>
        <w:pStyle w:val="Heading1"/>
        <w:numPr>
          <w:ilvl w:val="0"/>
          <w:numId w:val="0"/>
        </w:numPr>
        <w:ind w:left="432" w:hanging="432"/>
        <w:rPr>
          <w:rFonts w:ascii="Times New Roman Bold" w:eastAsia="SimSun" w:hAnsi="Times New Roman Bold" w:hint="eastAsia"/>
          <w:bCs/>
          <w:caps/>
          <w:snapToGrid/>
          <w:szCs w:val="28"/>
          <w:u w:val="single"/>
        </w:rPr>
      </w:pPr>
      <w:bookmarkStart w:id="4" w:name="_Toc24116044"/>
      <w:bookmarkStart w:id="5" w:name="_Toc24126521"/>
      <w:bookmarkStart w:id="6" w:name="_Toc90290865"/>
      <w:bookmarkStart w:id="7" w:name="_Toc120627631"/>
      <w:r>
        <w:rPr>
          <w:u w:val="single"/>
        </w:rPr>
        <w:lastRenderedPageBreak/>
        <w:t>PODMÍNKY</w:t>
      </w:r>
      <w:bookmarkEnd w:id="4"/>
      <w:bookmarkEnd w:id="5"/>
      <w:bookmarkEnd w:id="6"/>
      <w:bookmarkEnd w:id="7"/>
    </w:p>
    <w:p w14:paraId="156F4837" w14:textId="762E6028" w:rsidR="001F1C6C" w:rsidRPr="00066043" w:rsidRDefault="001F1C6C" w:rsidP="00066043">
      <w:pPr>
        <w:pStyle w:val="Heading1"/>
        <w:numPr>
          <w:ilvl w:val="0"/>
          <w:numId w:val="0"/>
        </w:numPr>
        <w:ind w:left="432" w:hanging="432"/>
        <w:rPr>
          <w:u w:val="single"/>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Pr>
          <w:u w:val="single"/>
        </w:rPr>
        <w:t>KAPITOLA 1</w:t>
      </w:r>
      <w:r w:rsidR="002326D3">
        <w:rPr>
          <w:u w:val="single"/>
        </w:rPr>
        <w:tab/>
      </w:r>
      <w:r>
        <w:rPr>
          <w:u w:val="single"/>
        </w:rPr>
        <w:t>OBECNÁ USTANOVENÍ</w:t>
      </w:r>
      <w:bookmarkEnd w:id="8"/>
      <w:bookmarkEnd w:id="9"/>
      <w:bookmarkEnd w:id="10"/>
      <w:bookmarkEnd w:id="11"/>
      <w:bookmarkEnd w:id="12"/>
      <w:bookmarkEnd w:id="13"/>
      <w:bookmarkEnd w:id="14"/>
      <w:bookmarkEnd w:id="15"/>
    </w:p>
    <w:p w14:paraId="39908D33" w14:textId="45035FE8" w:rsidR="00F96310" w:rsidRPr="00066043" w:rsidRDefault="00F96310" w:rsidP="00066043">
      <w:pPr>
        <w:pStyle w:val="Heading4"/>
        <w:keepLines/>
        <w:spacing w:after="200"/>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 xml:space="preserve">ČLÁNEK 1 – PŘEDMĚT DOHODY </w:t>
      </w:r>
    </w:p>
    <w:p w14:paraId="211174CF" w14:textId="0CA62C9F" w:rsidR="001F1C6C" w:rsidRDefault="001F1C6C" w:rsidP="00066043">
      <w:pPr>
        <w:spacing w:after="200"/>
        <w:jc w:val="both"/>
        <w:rPr>
          <w:sz w:val="24"/>
          <w:szCs w:val="24"/>
        </w:rPr>
      </w:pPr>
      <w:r>
        <w:rPr>
          <w:sz w:val="24"/>
        </w:rPr>
        <w:t>Tato dohoda stanoví práva a povinnosti a podmínky, které se vztahují k podpoře udělené na realizaci akce „Dobrovolnická činnost v rámci programu Evropský sbor solidarity“.</w:t>
      </w:r>
    </w:p>
    <w:p w14:paraId="1E6A1128" w14:textId="77777777" w:rsidR="001F1C6C" w:rsidRPr="00066043" w:rsidRDefault="001F1C6C" w:rsidP="00066043">
      <w:pPr>
        <w:pStyle w:val="Heading4"/>
        <w:keepLines/>
        <w:spacing w:after="200"/>
        <w:ind w:left="1865" w:hanging="1865"/>
        <w:rPr>
          <w:rFonts w:ascii="Times New Roman Bold" w:eastAsiaTheme="majorEastAsia" w:hAnsi="Times New Roman Bold" w:cstheme="majorBidi"/>
          <w:b/>
          <w:bCs/>
          <w:iCs/>
          <w:caps/>
          <w:snapToGrid/>
          <w:szCs w:val="22"/>
        </w:rPr>
      </w:pPr>
      <w:bookmarkStart w:id="16" w:name="_Toc24116048"/>
      <w:bookmarkStart w:id="17" w:name="_Toc24126525"/>
      <w:bookmarkStart w:id="18" w:name="_Toc90290868"/>
      <w:bookmarkStart w:id="19" w:name="_Toc120627635"/>
      <w:r>
        <w:rPr>
          <w:rFonts w:ascii="Times New Roman Bold" w:hAnsi="Times New Roman Bold"/>
          <w:b/>
          <w:caps/>
          <w:snapToGrid/>
        </w:rPr>
        <w:t>ČLÁNEK 2 – DEFINICE</w:t>
      </w:r>
      <w:bookmarkEnd w:id="16"/>
      <w:bookmarkEnd w:id="17"/>
      <w:bookmarkEnd w:id="18"/>
      <w:bookmarkEnd w:id="19"/>
      <w:r>
        <w:rPr>
          <w:rFonts w:ascii="Times New Roman Bold" w:hAnsi="Times New Roman Bold"/>
          <w:b/>
          <w:caps/>
          <w:snapToGrid/>
        </w:rPr>
        <w:t xml:space="preserve"> </w:t>
      </w:r>
    </w:p>
    <w:p w14:paraId="15BF8FBA" w14:textId="156FB2E3" w:rsidR="001F1C6C" w:rsidRDefault="001F1C6C" w:rsidP="001F1C6C">
      <w:pPr>
        <w:ind w:left="567" w:hanging="567"/>
        <w:jc w:val="both"/>
        <w:rPr>
          <w:sz w:val="24"/>
          <w:szCs w:val="24"/>
        </w:rPr>
      </w:pPr>
      <w:r>
        <w:rPr>
          <w:sz w:val="24"/>
        </w:rPr>
        <w:t>Pro účely této dohody platí tyto definice:</w:t>
      </w:r>
    </w:p>
    <w:p w14:paraId="792E61F0" w14:textId="77777777" w:rsidR="001F1C6C" w:rsidRPr="001F1C6C" w:rsidRDefault="001F1C6C" w:rsidP="001F1C6C">
      <w:pPr>
        <w:ind w:left="567" w:hanging="567"/>
        <w:jc w:val="both"/>
        <w:rPr>
          <w:sz w:val="24"/>
          <w:szCs w:val="24"/>
          <w:lang w:val="en-GB"/>
        </w:rPr>
      </w:pPr>
    </w:p>
    <w:p w14:paraId="7DE4652C" w14:textId="031FB457" w:rsidR="001F1C6C" w:rsidRPr="001F1C6C" w:rsidRDefault="001F1C6C" w:rsidP="001F1C6C">
      <w:pPr>
        <w:ind w:left="567" w:hanging="567"/>
        <w:jc w:val="both"/>
        <w:rPr>
          <w:sz w:val="24"/>
          <w:szCs w:val="24"/>
        </w:rPr>
      </w:pPr>
      <w:r>
        <w:rPr>
          <w:sz w:val="24"/>
        </w:rPr>
        <w:t xml:space="preserve">Akce </w:t>
      </w:r>
      <w:r>
        <w:rPr>
          <w:sz w:val="24"/>
        </w:rPr>
        <w:tab/>
        <w:t>– činnost, která se provádí v rámci této dohody.</w:t>
      </w:r>
    </w:p>
    <w:p w14:paraId="3E0A5746" w14:textId="27EB260E" w:rsidR="001F1C6C" w:rsidRPr="001F1C6C" w:rsidRDefault="00DD7737" w:rsidP="001F1C6C">
      <w:pPr>
        <w:ind w:left="567" w:hanging="567"/>
        <w:jc w:val="both"/>
        <w:rPr>
          <w:sz w:val="24"/>
          <w:szCs w:val="24"/>
        </w:rPr>
      </w:pPr>
      <w:r>
        <w:rPr>
          <w:sz w:val="24"/>
        </w:rPr>
        <w:t>Finanční podpora – finanční podpora udělená v rámci této dohody.</w:t>
      </w:r>
    </w:p>
    <w:p w14:paraId="5BB80738" w14:textId="29C79D2B" w:rsidR="001F1C6C" w:rsidRPr="001F1C6C" w:rsidRDefault="001F1C6C" w:rsidP="001F1C6C">
      <w:pPr>
        <w:ind w:left="567" w:hanging="567"/>
        <w:jc w:val="both"/>
        <w:rPr>
          <w:sz w:val="24"/>
          <w:szCs w:val="24"/>
        </w:rPr>
      </w:pPr>
      <w:r>
        <w:rPr>
          <w:sz w:val="24"/>
        </w:rPr>
        <w:t>Účastníci</w:t>
      </w:r>
      <w:r w:rsidR="002326D3">
        <w:rPr>
          <w:sz w:val="24"/>
        </w:rPr>
        <w:t xml:space="preserve"> </w:t>
      </w:r>
      <w:r>
        <w:rPr>
          <w:sz w:val="24"/>
        </w:rPr>
        <w:t>– jednotlivci, kteří se plně podílejí na projektu a mohou získat část grantu Evropské unie na úhradu svých nákladů na účast.</w:t>
      </w:r>
    </w:p>
    <w:p w14:paraId="325F8D21" w14:textId="517C5716" w:rsidR="001F1C6C" w:rsidRPr="001F1C6C" w:rsidRDefault="001F1C6C" w:rsidP="001F1C6C">
      <w:pPr>
        <w:ind w:left="567" w:hanging="567"/>
        <w:jc w:val="both"/>
        <w:rPr>
          <w:sz w:val="24"/>
          <w:szCs w:val="24"/>
        </w:rPr>
      </w:pPr>
      <w:r>
        <w:rPr>
          <w:sz w:val="24"/>
        </w:rPr>
        <w:t>Podvod</w:t>
      </w:r>
      <w:r w:rsidR="002326D3">
        <w:rPr>
          <w:sz w:val="24"/>
        </w:rPr>
        <w:t xml:space="preserve"> </w:t>
      </w:r>
      <w:r>
        <w:rPr>
          <w:sz w:val="24"/>
        </w:rPr>
        <w:t>– podvod ve smyslu článku 3 směrnice EU 2017/1371</w:t>
      </w:r>
      <w:r w:rsidRPr="001F1C6C">
        <w:rPr>
          <w:sz w:val="24"/>
          <w:szCs w:val="24"/>
          <w:vertAlign w:val="superscript"/>
          <w:lang w:val="en-GB"/>
        </w:rPr>
        <w:footnoteReference w:id="4"/>
      </w:r>
      <w:r>
        <w:rPr>
          <w:sz w:val="24"/>
        </w:rPr>
        <w:t xml:space="preserve"> a článku 1 Úmluvy o ochraně finančních zájmů Evropských společenství, vypracované aktem Rady ze dne 26. července 1995</w:t>
      </w:r>
      <w:r w:rsidRPr="001F1C6C">
        <w:rPr>
          <w:sz w:val="24"/>
          <w:szCs w:val="24"/>
          <w:vertAlign w:val="superscript"/>
          <w:lang w:val="en-GB"/>
        </w:rPr>
        <w:footnoteReference w:id="5"/>
      </w:r>
      <w:r>
        <w:rPr>
          <w:sz w:val="24"/>
        </w:rPr>
        <w:t>, jakož i jakékoli jiné neoprávněné nebo protiprávní klamavé jednání, jehož cílem je získání finančního nebo osobního prospěchu.</w:t>
      </w:r>
    </w:p>
    <w:p w14:paraId="0AFED745" w14:textId="65E85211" w:rsidR="001F1C6C" w:rsidRPr="001F1C6C" w:rsidRDefault="001F1C6C" w:rsidP="001F1C6C">
      <w:pPr>
        <w:ind w:left="567" w:hanging="567"/>
        <w:jc w:val="both"/>
        <w:rPr>
          <w:sz w:val="24"/>
          <w:szCs w:val="24"/>
        </w:rPr>
      </w:pPr>
      <w:r>
        <w:rPr>
          <w:sz w:val="24"/>
        </w:rPr>
        <w:t xml:space="preserve">Nesrovnalosti </w:t>
      </w:r>
      <w:r>
        <w:rPr>
          <w:sz w:val="24"/>
        </w:rPr>
        <w:tab/>
        <w:t>– jakýkoli druh porušení (regulačních či smluvních) povinností, který by mohl mít dopad na finanční zájmy EU, včetně nesrovnalostí ve smyslu čl. 1 odst. 2 nařízení EU č. 2988/95</w:t>
      </w:r>
      <w:r w:rsidRPr="001F1C6C">
        <w:rPr>
          <w:sz w:val="24"/>
          <w:szCs w:val="24"/>
          <w:vertAlign w:val="superscript"/>
          <w:lang w:val="en-GB"/>
        </w:rPr>
        <w:footnoteReference w:id="6"/>
      </w:r>
      <w:r>
        <w:rPr>
          <w:sz w:val="24"/>
        </w:rPr>
        <w:t>.</w:t>
      </w:r>
    </w:p>
    <w:p w14:paraId="3FD428A9" w14:textId="2A25C2DB" w:rsidR="001F1C6C" w:rsidRPr="007E1301" w:rsidRDefault="001F1C6C" w:rsidP="00066043">
      <w:pPr>
        <w:pStyle w:val="Heading1"/>
        <w:numPr>
          <w:ilvl w:val="0"/>
          <w:numId w:val="0"/>
        </w:numPr>
        <w:ind w:left="432" w:hanging="432"/>
        <w:rPr>
          <w:u w:val="single"/>
        </w:rPr>
      </w:pPr>
      <w:bookmarkStart w:id="20" w:name="_Toc90290869"/>
      <w:bookmarkStart w:id="21" w:name="_Toc120627636"/>
      <w:r>
        <w:rPr>
          <w:u w:val="single"/>
        </w:rPr>
        <w:t>KAPITOLA 2</w:t>
      </w:r>
      <w:r>
        <w:rPr>
          <w:u w:val="single"/>
        </w:rPr>
        <w:tab/>
        <w:t>AKCE</w:t>
      </w:r>
      <w:bookmarkEnd w:id="20"/>
      <w:bookmarkEnd w:id="21"/>
    </w:p>
    <w:p w14:paraId="003E71CF" w14:textId="77777777" w:rsidR="001F1C6C" w:rsidRPr="00066043" w:rsidRDefault="001F1C6C" w:rsidP="00066043">
      <w:pPr>
        <w:pStyle w:val="Heading4"/>
        <w:keepLines/>
        <w:spacing w:after="200"/>
        <w:ind w:left="1865" w:hanging="1865"/>
        <w:rPr>
          <w:rFonts w:ascii="Times New Roman Bold" w:eastAsiaTheme="majorEastAsia" w:hAnsi="Times New Roman Bold" w:cstheme="majorBidi"/>
          <w:b/>
          <w:bCs/>
          <w:iCs/>
          <w:caps/>
          <w:snapToGrid/>
          <w:szCs w:val="22"/>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Pr>
          <w:rFonts w:ascii="Times New Roman Bold" w:hAnsi="Times New Roman Bold"/>
          <w:b/>
          <w:caps/>
          <w:snapToGrid/>
        </w:rPr>
        <w:t>ČLÁNEK 3 – AKCE</w:t>
      </w:r>
      <w:bookmarkEnd w:id="22"/>
      <w:bookmarkEnd w:id="23"/>
      <w:r>
        <w:rPr>
          <w:rFonts w:ascii="Times New Roman Bold" w:hAnsi="Times New Roman Bold"/>
          <w:b/>
          <w:caps/>
          <w:snapToGrid/>
        </w:rPr>
        <w:t xml:space="preserve"> </w:t>
      </w:r>
      <w:bookmarkEnd w:id="24"/>
      <w:bookmarkEnd w:id="25"/>
      <w:bookmarkEnd w:id="26"/>
      <w:bookmarkEnd w:id="27"/>
      <w:bookmarkEnd w:id="28"/>
      <w:bookmarkEnd w:id="29"/>
    </w:p>
    <w:p w14:paraId="6C3499CA" w14:textId="72139CE6" w:rsidR="008F2A7A" w:rsidRDefault="001F1C6C" w:rsidP="00A94952">
      <w:pPr>
        <w:spacing w:after="200"/>
        <w:jc w:val="both"/>
        <w:rPr>
          <w:sz w:val="24"/>
          <w:szCs w:val="24"/>
        </w:rPr>
      </w:pPr>
      <w:r>
        <w:rPr>
          <w:sz w:val="24"/>
        </w:rPr>
        <w:t>Podpora se poskytuje účastníkovi na provedení dobrovolnické činnosti, která probíhá v [</w:t>
      </w:r>
      <w:r>
        <w:rPr>
          <w:snapToGrid/>
          <w:sz w:val="24"/>
          <w:highlight w:val="lightGray"/>
        </w:rPr>
        <w:t>uveďte úplnou adresu místa činnosti</w:t>
      </w:r>
      <w:r>
        <w:rPr>
          <w:sz w:val="24"/>
        </w:rPr>
        <w:t>] v rámci programu Evropský sbor solidarity, jak je popsáno v tomto článku.</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8F2A7A">
      <w:pPr>
        <w:jc w:val="both"/>
        <w:rPr>
          <w:sz w:val="24"/>
          <w:szCs w:val="24"/>
        </w:rPr>
      </w:pPr>
      <w:r>
        <w:rPr>
          <w:sz w:val="24"/>
        </w:rPr>
        <w:t>[</w:t>
      </w:r>
      <w:r>
        <w:rPr>
          <w:snapToGrid/>
          <w:sz w:val="24"/>
          <w:highlight w:val="lightGray"/>
        </w:rPr>
        <w:t>Popište úlohu a úkoly, které bude mít účastník v organizaci</w:t>
      </w:r>
      <w:r>
        <w:rPr>
          <w:sz w:val="24"/>
        </w:rPr>
        <w:t>]</w:t>
      </w:r>
    </w:p>
    <w:p w14:paraId="0D991462" w14:textId="77777777" w:rsidR="001F1C6C" w:rsidRPr="002326D3" w:rsidRDefault="001F1C6C" w:rsidP="001F1C6C">
      <w:pPr>
        <w:ind w:left="567" w:hanging="567"/>
        <w:jc w:val="both"/>
        <w:rPr>
          <w:sz w:val="24"/>
          <w:szCs w:val="24"/>
        </w:rPr>
      </w:pPr>
    </w:p>
    <w:p w14:paraId="44AFA654" w14:textId="77777777" w:rsidR="001F1C6C" w:rsidRPr="001F1C6C" w:rsidRDefault="001F1C6C" w:rsidP="00066043">
      <w:pPr>
        <w:pStyle w:val="Heading4"/>
        <w:keepLines/>
        <w:spacing w:after="200"/>
        <w:ind w:left="1865" w:hanging="1865"/>
        <w:rPr>
          <w:b/>
          <w:bCs/>
          <w:iCs/>
          <w:szCs w:val="24"/>
        </w:rPr>
      </w:pPr>
      <w:bookmarkStart w:id="36" w:name="_Toc90290871"/>
      <w:bookmarkStart w:id="37" w:name="_Toc120627638"/>
      <w:r>
        <w:rPr>
          <w:rFonts w:ascii="Times New Roman Bold" w:hAnsi="Times New Roman Bold"/>
          <w:b/>
          <w:caps/>
          <w:snapToGrid/>
        </w:rPr>
        <w:t>ČLÁNEK 4 – DOBA TRVÁNÍ A DATUM ZAHÁJENÍ</w:t>
      </w:r>
      <w:bookmarkEnd w:id="30"/>
      <w:bookmarkEnd w:id="31"/>
      <w:bookmarkEnd w:id="32"/>
      <w:bookmarkEnd w:id="36"/>
      <w:bookmarkEnd w:id="37"/>
      <w:r>
        <w:rPr>
          <w:rFonts w:ascii="Times New Roman Bold" w:hAnsi="Times New Roman Bold"/>
          <w:b/>
          <w:caps/>
          <w:snapToGrid/>
        </w:rPr>
        <w:t xml:space="preserve"> </w:t>
      </w:r>
      <w:bookmarkEnd w:id="33"/>
      <w:bookmarkEnd w:id="34"/>
      <w:bookmarkEnd w:id="35"/>
    </w:p>
    <w:p w14:paraId="28B15984" w14:textId="2D3EC652" w:rsidR="005A52F6" w:rsidRPr="0076794B" w:rsidRDefault="005A52F6" w:rsidP="00993C4A">
      <w:pPr>
        <w:jc w:val="both"/>
        <w:rPr>
          <w:sz w:val="24"/>
          <w:szCs w:val="24"/>
        </w:rPr>
      </w:pPr>
      <w:r>
        <w:rPr>
          <w:sz w:val="24"/>
        </w:rPr>
        <w:t>Dohoda vstupuje v platnost dnem, kdy ji podepíše poslední z obou smluvních stran.</w:t>
      </w:r>
    </w:p>
    <w:p w14:paraId="533D3C98" w14:textId="77777777" w:rsidR="00993C4A" w:rsidRPr="002326D3" w:rsidRDefault="00993C4A" w:rsidP="005A52F6">
      <w:pPr>
        <w:ind w:left="567" w:hanging="567"/>
        <w:jc w:val="both"/>
        <w:rPr>
          <w:sz w:val="24"/>
          <w:szCs w:val="24"/>
        </w:rPr>
      </w:pPr>
    </w:p>
    <w:p w14:paraId="36C3D6A6" w14:textId="5C4AF17C" w:rsidR="005A52F6" w:rsidRPr="0076794B" w:rsidRDefault="005A52F6" w:rsidP="005A52F6">
      <w:pPr>
        <w:ind w:left="567" w:hanging="567"/>
        <w:jc w:val="both"/>
        <w:rPr>
          <w:sz w:val="24"/>
          <w:szCs w:val="24"/>
        </w:rPr>
      </w:pPr>
      <w:r>
        <w:rPr>
          <w:sz w:val="24"/>
        </w:rPr>
        <w:t>Období činnosti začíná dnem [</w:t>
      </w:r>
      <w:r>
        <w:rPr>
          <w:snapToGrid/>
          <w:sz w:val="24"/>
          <w:highlight w:val="lightGray"/>
        </w:rPr>
        <w:t>datum</w:t>
      </w:r>
      <w:r>
        <w:rPr>
          <w:sz w:val="24"/>
        </w:rPr>
        <w:t>]</w:t>
      </w:r>
      <w:r w:rsidRPr="0076794B">
        <w:rPr>
          <w:rStyle w:val="FootnoteReference"/>
          <w:sz w:val="24"/>
          <w:szCs w:val="24"/>
          <w:vertAlign w:val="superscript"/>
          <w:lang w:val="en-GB"/>
        </w:rPr>
        <w:footnoteReference w:id="7"/>
      </w:r>
      <w:r>
        <w:rPr>
          <w:sz w:val="24"/>
        </w:rPr>
        <w:t xml:space="preserve"> a končí dnem [</w:t>
      </w:r>
      <w:r>
        <w:rPr>
          <w:snapToGrid/>
          <w:sz w:val="24"/>
          <w:highlight w:val="lightGray"/>
        </w:rPr>
        <w:t>datum</w:t>
      </w:r>
      <w:r>
        <w:rPr>
          <w:sz w:val="24"/>
        </w:rPr>
        <w:t>]</w:t>
      </w:r>
      <w:r w:rsidRPr="0076794B">
        <w:rPr>
          <w:rStyle w:val="FootnoteReference"/>
          <w:sz w:val="24"/>
          <w:szCs w:val="24"/>
          <w:vertAlign w:val="superscript"/>
          <w:lang w:val="en-GB"/>
        </w:rPr>
        <w:footnoteReference w:id="8"/>
      </w:r>
      <w:r>
        <w:rPr>
          <w:sz w:val="24"/>
        </w:rPr>
        <w:t>.</w:t>
      </w:r>
      <w:r>
        <w:rPr>
          <w:sz w:val="24"/>
        </w:rPr>
        <w:tab/>
      </w:r>
    </w:p>
    <w:p w14:paraId="3B098C92" w14:textId="4C946BC3" w:rsidR="00993C4A" w:rsidRPr="008962E0" w:rsidRDefault="00993C4A" w:rsidP="00066043">
      <w:pPr>
        <w:pStyle w:val="Heading1"/>
        <w:numPr>
          <w:ilvl w:val="0"/>
          <w:numId w:val="0"/>
        </w:numPr>
        <w:ind w:left="432" w:hanging="432"/>
        <w:rPr>
          <w:u w:val="singl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rPr>
          <w:u w:val="single"/>
        </w:rPr>
        <w:lastRenderedPageBreak/>
        <w:t>KAPITOLA 3</w:t>
      </w:r>
      <w:r>
        <w:rPr>
          <w:u w:val="single"/>
        </w:rPr>
        <w:tab/>
        <w:t>GRANT</w:t>
      </w:r>
      <w:bookmarkEnd w:id="38"/>
      <w:bookmarkEnd w:id="39"/>
      <w:bookmarkEnd w:id="40"/>
      <w:bookmarkEnd w:id="41"/>
      <w:bookmarkEnd w:id="42"/>
      <w:bookmarkEnd w:id="43"/>
      <w:bookmarkEnd w:id="44"/>
      <w:bookmarkEnd w:id="45"/>
    </w:p>
    <w:p w14:paraId="06D7E138" w14:textId="6630D282" w:rsidR="00993C4A" w:rsidRPr="008962E0" w:rsidRDefault="00993C4A" w:rsidP="00066043">
      <w:pPr>
        <w:pStyle w:val="Heading4"/>
        <w:keepLines/>
        <w:spacing w:after="200"/>
        <w:ind w:left="1865" w:hanging="1865"/>
        <w:rPr>
          <w:rFonts w:ascii="Times New Roman Bold" w:eastAsiaTheme="majorEastAsia" w:hAnsi="Times New Roman Bold" w:cstheme="majorBidi"/>
          <w:b/>
          <w:bCs/>
          <w:iCs/>
          <w:caps/>
          <w:snapToGrid/>
          <w:szCs w:val="22"/>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Pr>
          <w:rFonts w:ascii="Times New Roman Bold" w:hAnsi="Times New Roman Bold"/>
          <w:b/>
          <w:caps/>
          <w:snapToGrid/>
        </w:rPr>
        <w:t>ČLÁNEK 5 –</w:t>
      </w:r>
      <w:bookmarkEnd w:id="46"/>
      <w:bookmarkEnd w:id="47"/>
      <w:bookmarkEnd w:id="48"/>
      <w:bookmarkEnd w:id="49"/>
      <w:bookmarkEnd w:id="50"/>
      <w:r>
        <w:rPr>
          <w:rFonts w:ascii="Times New Roman Bold" w:hAnsi="Times New Roman Bold"/>
          <w:b/>
          <w:caps/>
          <w:snapToGrid/>
        </w:rPr>
        <w:t xml:space="preserve"> FINANČNÍ A NEFINANČNÍ PODPORA </w:t>
      </w:r>
      <w:bookmarkEnd w:id="51"/>
      <w:bookmarkEnd w:id="52"/>
    </w:p>
    <w:p w14:paraId="2FD478F8" w14:textId="375244A2" w:rsidR="00A83522" w:rsidRPr="00A83522" w:rsidRDefault="00F50C22" w:rsidP="00A83522">
      <w:pPr>
        <w:spacing w:after="200"/>
        <w:jc w:val="both"/>
        <w:rPr>
          <w:sz w:val="24"/>
          <w:szCs w:val="24"/>
        </w:rPr>
      </w:pPr>
      <w:r>
        <w:rPr>
          <w:sz w:val="24"/>
        </w:rPr>
        <w:t>Účastník obdrží finanční podporu z prostředků EU po dobu [</w:t>
      </w:r>
      <w:r>
        <w:rPr>
          <w:snapToGrid/>
          <w:sz w:val="24"/>
          <w:highlight w:val="lightGray"/>
        </w:rPr>
        <w:t>uveďte počet</w:t>
      </w:r>
      <w:r>
        <w:rPr>
          <w:sz w:val="24"/>
        </w:rPr>
        <w:t>] dnů ve formě kapesného. Celková částka kapesného na období činnosti se určí vynásobením počtu dnů činnosti sazbou platnou na den pro danou hostitelskou zemi, včetně jednoho dne na cestu před zahájením činnosti a jednoho dne na cestu po skončení činnosti, a až čtyř dodatečných dnů pro účastníky, kteří obdrží finanční podporu na ekologicky šetrnou cestu.</w:t>
      </w:r>
    </w:p>
    <w:p w14:paraId="36F954ED" w14:textId="1E8F5DA1" w:rsidR="00DF0FE6" w:rsidRDefault="00DF0FE6" w:rsidP="008608FA">
      <w:pPr>
        <w:spacing w:before="100" w:beforeAutospacing="1" w:after="100" w:afterAutospacing="1"/>
        <w:jc w:val="both"/>
        <w:rPr>
          <w:snapToGrid/>
          <w:color w:val="000000"/>
          <w:sz w:val="24"/>
          <w:szCs w:val="24"/>
        </w:rPr>
      </w:pPr>
      <w:r>
        <w:rPr>
          <w:snapToGrid/>
          <w:color w:val="000000"/>
          <w:sz w:val="24"/>
        </w:rPr>
        <w:t>Organizace může poskytnout finanční podporu na cestovní výdaje a jiné uznatelné mimořádné náklady v souladu s Příručkou k programu Evropský sbor solidarity.</w:t>
      </w:r>
    </w:p>
    <w:p w14:paraId="5A598F54" w14:textId="555398CC" w:rsidR="00647C79" w:rsidRPr="007877E2" w:rsidRDefault="00647C79" w:rsidP="007877E2">
      <w:pPr>
        <w:spacing w:before="100" w:beforeAutospacing="1" w:after="100" w:afterAutospacing="1"/>
        <w:jc w:val="both"/>
        <w:rPr>
          <w:snapToGrid/>
          <w:color w:val="000000"/>
          <w:sz w:val="24"/>
          <w:szCs w:val="24"/>
        </w:rPr>
      </w:pPr>
      <w:r>
        <w:rPr>
          <w:snapToGrid/>
          <w:color w:val="000000"/>
          <w:sz w:val="24"/>
        </w:rPr>
        <w:t>Organizace může případně poskytovat nefinanční podporu na cestu, inkluzi, mentorství a jazykové vzdělávání.</w:t>
      </w:r>
    </w:p>
    <w:p w14:paraId="7CC8A68D" w14:textId="1C047B08" w:rsidR="00F50C22" w:rsidRPr="00066043" w:rsidRDefault="00F50C22" w:rsidP="00066043">
      <w:pPr>
        <w:pStyle w:val="Heading4"/>
        <w:keepLines/>
        <w:spacing w:after="200"/>
        <w:ind w:left="1865" w:hanging="1865"/>
        <w:rPr>
          <w:rFonts w:ascii="Times New Roman Bold" w:eastAsiaTheme="majorEastAsia" w:hAnsi="Times New Roman Bold" w:cstheme="majorBidi"/>
          <w:b/>
          <w:bCs/>
          <w:iCs/>
          <w:caps/>
          <w:snapToGrid/>
          <w:szCs w:val="22"/>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Pr>
          <w:rFonts w:ascii="Times New Roman Bold" w:hAnsi="Times New Roman Bold"/>
          <w:b/>
          <w:caps/>
          <w:snapToGrid/>
        </w:rPr>
        <w:t>ČLÁNEK 6 – UZNATELNÉ A NEUZNATELNÉ NÁKLADY</w:t>
      </w:r>
      <w:bookmarkEnd w:id="54"/>
      <w:bookmarkEnd w:id="55"/>
      <w:bookmarkEnd w:id="56"/>
      <w:bookmarkEnd w:id="57"/>
      <w:bookmarkEnd w:id="58"/>
      <w:bookmarkEnd w:id="59"/>
      <w:bookmarkEnd w:id="60"/>
    </w:p>
    <w:p w14:paraId="5C5142A6" w14:textId="0A577C37" w:rsidR="00C468A0" w:rsidRPr="00C468A0" w:rsidRDefault="00C468A0" w:rsidP="00C468A0">
      <w:pPr>
        <w:ind w:left="567" w:hanging="567"/>
        <w:jc w:val="both"/>
        <w:rPr>
          <w:b/>
          <w:sz w:val="24"/>
          <w:szCs w:val="24"/>
        </w:rPr>
      </w:pPr>
      <w:r>
        <w:rPr>
          <w:sz w:val="24"/>
        </w:rPr>
        <w:t xml:space="preserve">Platí tyto </w:t>
      </w:r>
      <w:r>
        <w:rPr>
          <w:b/>
          <w:sz w:val="24"/>
        </w:rPr>
        <w:t>podmínky uznatelnosti:</w:t>
      </w:r>
      <w:r>
        <w:rPr>
          <w:sz w:val="24"/>
        </w:rPr>
        <w:t xml:space="preserve"> </w:t>
      </w:r>
    </w:p>
    <w:p w14:paraId="4A2A5045" w14:textId="5F7AAB6F" w:rsidR="00A94952" w:rsidRPr="00A94952" w:rsidRDefault="00C468A0" w:rsidP="00A94952">
      <w:pPr>
        <w:numPr>
          <w:ilvl w:val="0"/>
          <w:numId w:val="3"/>
        </w:numPr>
        <w:jc w:val="both"/>
        <w:rPr>
          <w:sz w:val="24"/>
          <w:szCs w:val="24"/>
        </w:rPr>
      </w:pPr>
      <w:r>
        <w:rPr>
          <w:sz w:val="24"/>
        </w:rPr>
        <w:t>Náklady musí vzniknout v souvislosti s prováděním akce uvedené v článku 3 a během období uvedeného v článku 4 a musí být k tomuto provádění nezbytné;</w:t>
      </w:r>
    </w:p>
    <w:p w14:paraId="43A5A487" w14:textId="36C58CC5" w:rsidR="00C468A0" w:rsidRDefault="00C468A0" w:rsidP="004B0794">
      <w:pPr>
        <w:numPr>
          <w:ilvl w:val="0"/>
          <w:numId w:val="3"/>
        </w:numPr>
        <w:jc w:val="both"/>
        <w:rPr>
          <w:sz w:val="24"/>
          <w:szCs w:val="24"/>
        </w:rPr>
      </w:pPr>
      <w:r>
        <w:rPr>
          <w:sz w:val="24"/>
        </w:rPr>
        <w:t>musí být v souladu s platnými vnitrostátními daňovými a pracovněprávními předpisy a právními předpisy v oblasti sociálního zabezpečení</w:t>
      </w:r>
      <w:r w:rsidR="002326D3">
        <w:rPr>
          <w:sz w:val="24"/>
        </w:rPr>
        <w:t>;</w:t>
      </w:r>
    </w:p>
    <w:p w14:paraId="5444CFA6" w14:textId="17742432" w:rsidR="00A04B95" w:rsidRPr="00A04B95" w:rsidRDefault="00A04B95" w:rsidP="004B0794">
      <w:pPr>
        <w:pStyle w:val="ListParagraph"/>
        <w:numPr>
          <w:ilvl w:val="0"/>
          <w:numId w:val="3"/>
        </w:numPr>
        <w:jc w:val="both"/>
        <w:rPr>
          <w:rFonts w:ascii="Times New Roman" w:eastAsia="Times New Roman" w:hAnsi="Times New Roman" w:cs="Times New Roman"/>
          <w:snapToGrid w:val="0"/>
          <w:sz w:val="24"/>
          <w:szCs w:val="24"/>
        </w:rPr>
      </w:pPr>
      <w:r>
        <w:rPr>
          <w:rFonts w:ascii="Times New Roman" w:hAnsi="Times New Roman"/>
          <w:snapToGrid w:val="0"/>
          <w:sz w:val="24"/>
        </w:rPr>
        <w:t>úhrada skutečných nákladů vzniklých v souvislosti se zvláštními potřebami musí být založena na dokladech, jako jsou faktury, stvrzenky atd.; tyto náklady musí být identifikovatelné a ověřitelné;</w:t>
      </w:r>
    </w:p>
    <w:p w14:paraId="6EDEF888" w14:textId="1C16163A" w:rsidR="00A04B95" w:rsidRPr="00A04B95" w:rsidRDefault="00A04B95" w:rsidP="004B0794">
      <w:pPr>
        <w:pStyle w:val="ListParagraph"/>
        <w:numPr>
          <w:ilvl w:val="0"/>
          <w:numId w:val="3"/>
        </w:numPr>
        <w:rPr>
          <w:rFonts w:ascii="Times New Roman" w:eastAsia="Times New Roman" w:hAnsi="Times New Roman" w:cs="Times New Roman"/>
          <w:snapToGrid w:val="0"/>
          <w:sz w:val="24"/>
          <w:szCs w:val="24"/>
        </w:rPr>
      </w:pPr>
      <w:r>
        <w:rPr>
          <w:rFonts w:ascii="Times New Roman" w:hAnsi="Times New Roman"/>
          <w:snapToGrid w:val="0"/>
          <w:sz w:val="24"/>
        </w:rPr>
        <w:t xml:space="preserve">nesmějí být použity k pokrytí podobných nákladů, které již byly financovány z fondů Evropské unie. </w:t>
      </w:r>
    </w:p>
    <w:p w14:paraId="56948373" w14:textId="53B63257" w:rsidR="00A24203" w:rsidRPr="00066043" w:rsidRDefault="00A24203" w:rsidP="00066043">
      <w:pPr>
        <w:pStyle w:val="Heading1"/>
        <w:numPr>
          <w:ilvl w:val="0"/>
          <w:numId w:val="0"/>
        </w:numPr>
        <w:ind w:left="432" w:hanging="432"/>
        <w:rPr>
          <w:u w:val="single"/>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Pr>
          <w:u w:val="single"/>
        </w:rPr>
        <w:t>KAPITOLA 4</w:t>
      </w:r>
      <w:bookmarkEnd w:id="61"/>
      <w:r>
        <w:rPr>
          <w:u w:val="single"/>
        </w:rPr>
        <w:tab/>
        <w:t>PROVÁDĚNÍ DOHODY</w:t>
      </w:r>
      <w:bookmarkEnd w:id="62"/>
      <w:bookmarkEnd w:id="63"/>
      <w:bookmarkEnd w:id="64"/>
      <w:bookmarkEnd w:id="65"/>
      <w:bookmarkEnd w:id="66"/>
      <w:bookmarkEnd w:id="67"/>
      <w:bookmarkEnd w:id="68"/>
      <w:bookmarkEnd w:id="69"/>
    </w:p>
    <w:p w14:paraId="6D3652D2" w14:textId="11CCE676" w:rsidR="00A24203" w:rsidRPr="00923741" w:rsidRDefault="00A24203" w:rsidP="00A24203">
      <w:pPr>
        <w:keepNext/>
        <w:keepLines/>
        <w:spacing w:after="200"/>
        <w:ind w:left="1865" w:hanging="1865"/>
        <w:jc w:val="both"/>
        <w:outlineLvl w:val="3"/>
        <w:rPr>
          <w:rFonts w:eastAsia="SimSun"/>
          <w:b/>
          <w:bCs/>
          <w:iCs/>
          <w:caps/>
          <w:snapToGrid/>
          <w:sz w:val="24"/>
          <w:szCs w:val="22"/>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Pr>
          <w:b/>
          <w:caps/>
          <w:snapToGrid/>
          <w:sz w:val="24"/>
        </w:rPr>
        <w:t xml:space="preserve">ČLÁNEK 7 – </w:t>
      </w:r>
      <w:bookmarkEnd w:id="70"/>
      <w:bookmarkEnd w:id="71"/>
      <w:bookmarkEnd w:id="72"/>
      <w:bookmarkEnd w:id="73"/>
      <w:bookmarkEnd w:id="74"/>
      <w:bookmarkEnd w:id="75"/>
      <w:bookmarkEnd w:id="76"/>
      <w:bookmarkEnd w:id="77"/>
      <w:r>
        <w:rPr>
          <w:b/>
          <w:caps/>
          <w:snapToGrid/>
          <w:sz w:val="24"/>
        </w:rPr>
        <w:t>POVINNOSTI ÚČASTNÍKA A ORGANIZACE</w:t>
      </w:r>
    </w:p>
    <w:p w14:paraId="3C5A4966" w14:textId="382E21C7" w:rsidR="00CD3C7F" w:rsidRPr="00681864" w:rsidRDefault="00CD3C7F" w:rsidP="00CD3C7F">
      <w:pPr>
        <w:keepNext/>
        <w:keepLines/>
        <w:spacing w:after="200"/>
        <w:ind w:left="720" w:hanging="720"/>
        <w:jc w:val="both"/>
        <w:outlineLvl w:val="4"/>
        <w:rPr>
          <w:rFonts w:eastAsia="SimSun"/>
          <w:b/>
          <w:snapToGrid/>
          <w:sz w:val="24"/>
          <w:szCs w:val="22"/>
        </w:rPr>
      </w:pPr>
      <w:r>
        <w:rPr>
          <w:b/>
          <w:snapToGrid/>
          <w:sz w:val="24"/>
        </w:rPr>
        <w:t>7.1</w:t>
      </w:r>
      <w:r>
        <w:rPr>
          <w:b/>
          <w:snapToGrid/>
          <w:sz w:val="24"/>
        </w:rPr>
        <w:tab/>
        <w:t>Povinnosti účastníka</w:t>
      </w:r>
    </w:p>
    <w:p w14:paraId="4390F89E" w14:textId="52355D29" w:rsidR="00FC0CF9" w:rsidRPr="00681864" w:rsidRDefault="00A24203" w:rsidP="00FC0CF9">
      <w:pPr>
        <w:adjustRightInd w:val="0"/>
        <w:spacing w:after="200"/>
        <w:jc w:val="both"/>
        <w:rPr>
          <w:snapToGrid/>
          <w:sz w:val="24"/>
          <w:szCs w:val="24"/>
        </w:rPr>
      </w:pPr>
      <w:r>
        <w:rPr>
          <w:snapToGrid/>
          <w:sz w:val="24"/>
        </w:rPr>
        <w:t xml:space="preserve">Účastník plně zodpovídá organizaci za realizaci akce uvedené v článku 3 v souladu s ustanoveními dohody, jakož i s veškerými zákonnými povinnostmi vyplývajícími z platného práva EU, mezinárodního i vnitrostátního práva. </w:t>
      </w:r>
    </w:p>
    <w:p w14:paraId="174B66F2" w14:textId="77151F3D" w:rsidR="00A24203" w:rsidRDefault="00A24203" w:rsidP="00A24203">
      <w:pPr>
        <w:adjustRightInd w:val="0"/>
        <w:spacing w:after="200"/>
        <w:jc w:val="both"/>
        <w:rPr>
          <w:snapToGrid/>
          <w:sz w:val="24"/>
          <w:szCs w:val="24"/>
        </w:rPr>
      </w:pPr>
      <w:r>
        <w:rPr>
          <w:snapToGrid/>
          <w:sz w:val="24"/>
        </w:rPr>
        <w:t xml:space="preserve">Účastník musí dohodu provádět podle svých nejlepších schopností a v dobré víře. </w:t>
      </w:r>
    </w:p>
    <w:p w14:paraId="1C460BE0" w14:textId="40A8B1F4" w:rsidR="008748BC" w:rsidRDefault="008748BC" w:rsidP="008748BC">
      <w:pPr>
        <w:tabs>
          <w:tab w:val="left" w:pos="851"/>
        </w:tabs>
        <w:spacing w:after="200"/>
        <w:jc w:val="both"/>
        <w:rPr>
          <w:sz w:val="24"/>
          <w:szCs w:val="24"/>
        </w:rPr>
      </w:pPr>
      <w:r>
        <w:rPr>
          <w:sz w:val="24"/>
        </w:rPr>
        <w:t xml:space="preserve">Účastník nesmí během období uvedeného v článku 4 vykonávat dobrovolnickou činnost v rámci Evropského sboru solidarity, Evropskou dobrovolnou službu nebo dobrovolnickou činnost v rámci programu Erasmus+, v jejímž důsledku by jeho účast byla nezpůsobilá (v souladu s výjimkami uvedenými v Příručce k programu Evropský sbor solidarity).  </w:t>
      </w:r>
    </w:p>
    <w:p w14:paraId="7D88E828" w14:textId="77777777" w:rsidR="00417793" w:rsidRDefault="00417793" w:rsidP="00417793">
      <w:pPr>
        <w:tabs>
          <w:tab w:val="left" w:pos="851"/>
        </w:tabs>
        <w:spacing w:after="200"/>
        <w:jc w:val="both"/>
        <w:rPr>
          <w:sz w:val="24"/>
          <w:szCs w:val="24"/>
        </w:rPr>
      </w:pPr>
      <w:r>
        <w:rPr>
          <w:snapToGrid/>
          <w:sz w:val="24"/>
        </w:rPr>
        <w:t>Účastník je povinen před příjezdem do hostitelské země získat evropský průkaz zdravotního pojištění, je-li zdarma.</w:t>
      </w:r>
    </w:p>
    <w:p w14:paraId="39114F60" w14:textId="5514ECC2" w:rsidR="008748BC" w:rsidRPr="003B3D8F" w:rsidRDefault="008748BC" w:rsidP="008748BC">
      <w:pPr>
        <w:tabs>
          <w:tab w:val="left" w:pos="851"/>
        </w:tabs>
        <w:spacing w:after="200"/>
        <w:jc w:val="both"/>
        <w:rPr>
          <w:rFonts w:eastAsia="Calibri"/>
          <w:snapToGrid/>
          <w:sz w:val="24"/>
          <w:szCs w:val="24"/>
        </w:rPr>
      </w:pPr>
      <w:r>
        <w:rPr>
          <w:snapToGrid/>
          <w:sz w:val="24"/>
        </w:rPr>
        <w:t>V případě kontroly, přezkumu a auditu podle článku 13 musí účastník náležitě spolupracovat a v</w:t>
      </w:r>
      <w:r w:rsidR="002326D3">
        <w:rPr>
          <w:snapToGrid/>
          <w:sz w:val="24"/>
        </w:rPr>
        <w:t> </w:t>
      </w:r>
      <w:r>
        <w:rPr>
          <w:snapToGrid/>
          <w:sz w:val="24"/>
        </w:rPr>
        <w:t>požadované lhůtě poskytnout veškeré informace k ověření souladu s dohodou.</w:t>
      </w:r>
    </w:p>
    <w:p w14:paraId="65598DDE" w14:textId="756D8E99" w:rsidR="008748BC" w:rsidRDefault="008748BC" w:rsidP="00091331">
      <w:pPr>
        <w:tabs>
          <w:tab w:val="left" w:pos="851"/>
        </w:tabs>
        <w:spacing w:after="200"/>
        <w:jc w:val="both"/>
        <w:rPr>
          <w:sz w:val="24"/>
          <w:szCs w:val="24"/>
        </w:rPr>
      </w:pPr>
      <w:r>
        <w:rPr>
          <w:sz w:val="24"/>
        </w:rPr>
        <w:lastRenderedPageBreak/>
        <w:t>Účastník bude na začátku aktivity obeznámen s obsahem souboru informací o Evropském sboru solidarity.</w:t>
      </w:r>
    </w:p>
    <w:p w14:paraId="4D3BDCEB" w14:textId="7EF47F13" w:rsidR="008748BC" w:rsidRDefault="00010F65" w:rsidP="00091331">
      <w:pPr>
        <w:tabs>
          <w:tab w:val="left" w:pos="851"/>
        </w:tabs>
        <w:spacing w:after="200"/>
        <w:jc w:val="both"/>
        <w:rPr>
          <w:sz w:val="24"/>
          <w:szCs w:val="24"/>
        </w:rPr>
      </w:pPr>
      <w:r>
        <w:rPr>
          <w:sz w:val="24"/>
        </w:rPr>
        <w:t>Bude-li k tomu vyzván, zúčastní se účastník přípravy před odjezdem, přípravy po příjezdu, hodnocení v polovině období a každoroční akce.</w:t>
      </w:r>
    </w:p>
    <w:p w14:paraId="6918AEC8" w14:textId="08FBDAF6" w:rsidR="00406205" w:rsidRPr="00570308" w:rsidRDefault="003E5987" w:rsidP="00570308">
      <w:pPr>
        <w:keepNext/>
        <w:keepLines/>
        <w:spacing w:after="200"/>
        <w:jc w:val="both"/>
        <w:rPr>
          <w:i/>
          <w:color w:val="70AD47" w:themeColor="accent6"/>
          <w:sz w:val="24"/>
          <w:szCs w:val="24"/>
        </w:rPr>
      </w:pPr>
      <w:r>
        <w:rPr>
          <w:sz w:val="24"/>
        </w:rPr>
        <w:t>Pokud bude činnost probíhat v jednom z jazyků, na které se vztahuje on-line jazyková podpora, absolvuje účastník on-line jazykovou přípravu v daném jazyce, aby se mohl připravit na činnost v</w:t>
      </w:r>
      <w:r w:rsidR="002326D3">
        <w:rPr>
          <w:sz w:val="24"/>
        </w:rPr>
        <w:t> </w:t>
      </w:r>
      <w:r>
        <w:rPr>
          <w:sz w:val="24"/>
        </w:rPr>
        <w:t>zahraničí. Účastník okamžitě informuje dotyčnou organizaci, pokud není schopen zúčastnit se on-line jazykového kurzu.</w:t>
      </w:r>
    </w:p>
    <w:p w14:paraId="72F61CB9" w14:textId="77777777" w:rsidR="00406205" w:rsidRDefault="00406205" w:rsidP="00621CC5">
      <w:pPr>
        <w:keepNext/>
        <w:keepLines/>
        <w:spacing w:after="200"/>
        <w:jc w:val="both"/>
        <w:rPr>
          <w:i/>
          <w:color w:val="70AD47" w:themeColor="accent6"/>
          <w:sz w:val="24"/>
          <w:szCs w:val="24"/>
        </w:rPr>
      </w:pPr>
      <w:r>
        <w:rPr>
          <w:i/>
          <w:color w:val="70AD47" w:themeColor="accent6"/>
          <w:sz w:val="24"/>
        </w:rPr>
        <w:t>[Varianta pro případy, kdy není poskytnuta on-line jazyková podpora:</w:t>
      </w:r>
    </w:p>
    <w:p w14:paraId="681F9EC6" w14:textId="77777777" w:rsidR="00484FC7" w:rsidRDefault="00406205" w:rsidP="00621CC5">
      <w:pPr>
        <w:keepNext/>
        <w:keepLines/>
        <w:spacing w:after="200"/>
        <w:jc w:val="both"/>
        <w:rPr>
          <w:i/>
          <w:color w:val="70AD47" w:themeColor="accent6"/>
          <w:sz w:val="24"/>
          <w:szCs w:val="24"/>
        </w:rPr>
      </w:pPr>
      <w:r>
        <w:rPr>
          <w:sz w:val="24"/>
          <w:highlight w:val="lightGray"/>
        </w:rPr>
        <w:t>Popište povinnosti účastníka, pokud jde o jazykovou podporu poskytovanou v souvislosti s projektem.</w:t>
      </w:r>
      <w:r>
        <w:rPr>
          <w:i/>
          <w:color w:val="70AD47" w:themeColor="accent6"/>
          <w:sz w:val="24"/>
        </w:rPr>
        <w:t>]</w:t>
      </w:r>
    </w:p>
    <w:p w14:paraId="733D74B5" w14:textId="77777777" w:rsidR="00484FC7" w:rsidRDefault="00406205" w:rsidP="00621CC5">
      <w:pPr>
        <w:keepNext/>
        <w:keepLines/>
        <w:spacing w:after="200"/>
        <w:jc w:val="both"/>
        <w:rPr>
          <w:sz w:val="24"/>
          <w:szCs w:val="24"/>
        </w:rPr>
      </w:pPr>
      <w:r>
        <w:rPr>
          <w:sz w:val="24"/>
        </w:rPr>
        <w:t>[</w:t>
      </w:r>
      <w:r>
        <w:rPr>
          <w:sz w:val="24"/>
          <w:highlight w:val="lightGray"/>
        </w:rPr>
        <w:t>Popište další práva a povinnosti účastníka činnosti, pokud jde o bydlení, praktická opatření, pravidla chování atd. Vezměte prosím na vědomí, že úloha a úkoly účastníka musí být podrobně popsány v článku 3.</w:t>
      </w:r>
      <w:r>
        <w:rPr>
          <w:sz w:val="24"/>
        </w:rPr>
        <w:t>]</w:t>
      </w:r>
    </w:p>
    <w:p w14:paraId="6B1540DE" w14:textId="4A289073" w:rsidR="00FC0CF9" w:rsidRDefault="00FC0CF9" w:rsidP="00621CC5">
      <w:pPr>
        <w:keepNext/>
        <w:keepLines/>
        <w:spacing w:after="200"/>
        <w:jc w:val="both"/>
        <w:rPr>
          <w:rFonts w:eastAsia="Calibri"/>
          <w:snapToGrid/>
          <w:sz w:val="24"/>
          <w:szCs w:val="24"/>
        </w:rPr>
      </w:pPr>
      <w:r>
        <w:rPr>
          <w:snapToGrid/>
          <w:sz w:val="24"/>
        </w:rPr>
        <w:t>V případě, že účastník poruší kteroukoli ze svých povinností vyplývající z této dohody, může být finanční podpora pozastavena nebo ukončena (viz kapitola 5).</w:t>
      </w:r>
    </w:p>
    <w:p w14:paraId="3E063FCC" w14:textId="77777777" w:rsidR="00FC0CF9" w:rsidRDefault="00FC0CF9" w:rsidP="00FC0CF9">
      <w:pPr>
        <w:keepNext/>
        <w:keepLines/>
        <w:spacing w:after="200"/>
        <w:ind w:left="720" w:hanging="720"/>
        <w:jc w:val="both"/>
        <w:outlineLvl w:val="4"/>
        <w:rPr>
          <w:rFonts w:eastAsia="SimSun"/>
          <w:b/>
          <w:snapToGrid/>
          <w:sz w:val="24"/>
          <w:szCs w:val="22"/>
        </w:rPr>
      </w:pPr>
      <w:r>
        <w:rPr>
          <w:b/>
          <w:snapToGrid/>
          <w:sz w:val="24"/>
        </w:rPr>
        <w:t>7.2</w:t>
      </w:r>
      <w:r>
        <w:rPr>
          <w:b/>
          <w:snapToGrid/>
          <w:sz w:val="24"/>
        </w:rPr>
        <w:tab/>
        <w:t>Povinnosti organizace</w:t>
      </w:r>
    </w:p>
    <w:p w14:paraId="50B0176F" w14:textId="2375CBE1" w:rsidR="003F30D5" w:rsidRDefault="003F30D5" w:rsidP="00396C5C">
      <w:pPr>
        <w:tabs>
          <w:tab w:val="left" w:pos="1260"/>
        </w:tabs>
        <w:spacing w:after="200"/>
        <w:jc w:val="both"/>
        <w:rPr>
          <w:rFonts w:eastAsia="Calibri"/>
          <w:snapToGrid/>
          <w:sz w:val="24"/>
          <w:szCs w:val="24"/>
        </w:rPr>
      </w:pPr>
      <w:r>
        <w:rPr>
          <w:snapToGrid/>
          <w:sz w:val="24"/>
        </w:rPr>
        <w:t>Organizace zajistí účastníkovi bezpečné a důstojné životní a dobrovolnické podmínky.</w:t>
      </w:r>
    </w:p>
    <w:p w14:paraId="791B2D35" w14:textId="25E8A919" w:rsidR="00855C60" w:rsidRDefault="00855C60" w:rsidP="00396C5C">
      <w:pPr>
        <w:tabs>
          <w:tab w:val="left" w:pos="1260"/>
        </w:tabs>
        <w:spacing w:after="200"/>
        <w:jc w:val="both"/>
        <w:rPr>
          <w:rFonts w:eastAsia="Calibri"/>
          <w:snapToGrid/>
          <w:sz w:val="24"/>
          <w:szCs w:val="24"/>
        </w:rPr>
      </w:pPr>
      <w:r>
        <w:rPr>
          <w:snapToGrid/>
          <w:sz w:val="24"/>
        </w:rPr>
        <w:t>Organizace zajistí účastníkovi odpovídající podporu při učení a rozvoji v souladu se standardy kvality uvedenými v Příručce k programu Evropský sbor solidarity.</w:t>
      </w:r>
    </w:p>
    <w:p w14:paraId="7CC696A6" w14:textId="374AEE98" w:rsidR="00396C5C" w:rsidRPr="002D6240" w:rsidRDefault="00396C5C" w:rsidP="00396C5C">
      <w:pPr>
        <w:tabs>
          <w:tab w:val="left" w:pos="1260"/>
        </w:tabs>
        <w:spacing w:after="200"/>
        <w:jc w:val="both"/>
        <w:rPr>
          <w:rFonts w:eastAsia="Calibri"/>
          <w:snapToGrid/>
          <w:sz w:val="24"/>
          <w:szCs w:val="24"/>
        </w:rPr>
      </w:pPr>
      <w:r>
        <w:rPr>
          <w:snapToGrid/>
          <w:sz w:val="24"/>
        </w:rPr>
        <w:t>Před zahájením aktivity zašle organizace účastníkovi soubor informací o Evropském sboru solidarity.</w:t>
      </w:r>
    </w:p>
    <w:p w14:paraId="673E606F" w14:textId="2CB64894" w:rsidR="00570308" w:rsidRDefault="00241082" w:rsidP="00570308">
      <w:pPr>
        <w:tabs>
          <w:tab w:val="left" w:pos="851"/>
        </w:tabs>
        <w:spacing w:after="200"/>
        <w:jc w:val="both"/>
        <w:rPr>
          <w:sz w:val="24"/>
          <w:szCs w:val="24"/>
        </w:rPr>
      </w:pPr>
      <w:r>
        <w:rPr>
          <w:sz w:val="24"/>
        </w:rPr>
        <w:t>V příslušných případech musí organizace zajistit, aby účastník obdržel odpovídající schválení pro práci se zranitelnými skupinami v souladu s vnitrostátními právními předpisy.</w:t>
      </w:r>
    </w:p>
    <w:p w14:paraId="38BCFA8F" w14:textId="1C91CEFB" w:rsidR="00FC0CF9" w:rsidRDefault="00FC0CF9" w:rsidP="00570308">
      <w:pPr>
        <w:tabs>
          <w:tab w:val="left" w:pos="851"/>
        </w:tabs>
        <w:spacing w:after="200"/>
        <w:jc w:val="both"/>
        <w:rPr>
          <w:sz w:val="24"/>
          <w:szCs w:val="24"/>
        </w:rPr>
      </w:pPr>
      <w:r>
        <w:rPr>
          <w:i/>
          <w:color w:val="70AD47" w:themeColor="accent6"/>
          <w:sz w:val="24"/>
        </w:rPr>
        <w:t xml:space="preserve">[Varianta v případě vnitrostátní dobrovolnické činnosti: </w:t>
      </w:r>
      <w:r>
        <w:rPr>
          <w:sz w:val="24"/>
        </w:rPr>
        <w:t>Organizace musí zajistit, aby byl účastník pojištěn pro případ úrazu a nemoci, a to buď prostřednictvím vnitrostátního systému zdravotní péče, nebo prostřednictvím systému soukromého pojištění. Organizace musí zajistit, aby měl účastník pojištění odpovědnosti.</w:t>
      </w:r>
      <w:r>
        <w:rPr>
          <w:i/>
          <w:color w:val="70AD47" w:themeColor="accent6"/>
          <w:sz w:val="24"/>
        </w:rPr>
        <w:t>]</w:t>
      </w:r>
    </w:p>
    <w:p w14:paraId="44E50F00" w14:textId="77777777" w:rsidR="00FC0CF9" w:rsidRDefault="00FC0CF9" w:rsidP="00621CC5">
      <w:pPr>
        <w:keepNext/>
        <w:keepLines/>
        <w:spacing w:after="200"/>
        <w:jc w:val="both"/>
        <w:rPr>
          <w:i/>
          <w:color w:val="70AD47" w:themeColor="accent6"/>
          <w:sz w:val="24"/>
          <w:szCs w:val="24"/>
        </w:rPr>
      </w:pPr>
      <w:r>
        <w:rPr>
          <w:i/>
          <w:color w:val="70AD47" w:themeColor="accent6"/>
          <w:sz w:val="24"/>
        </w:rPr>
        <w:lastRenderedPageBreak/>
        <w:t>[Varianta v případě přeshraniční dobrovolnické činnosti:</w:t>
      </w:r>
    </w:p>
    <w:p w14:paraId="227D3EAE" w14:textId="30F0A558" w:rsidR="00FC0CF9" w:rsidRDefault="00FC0CF9" w:rsidP="00621CC5">
      <w:pPr>
        <w:keepNext/>
        <w:keepLines/>
        <w:spacing w:after="200"/>
        <w:jc w:val="both"/>
        <w:rPr>
          <w:sz w:val="24"/>
          <w:szCs w:val="24"/>
        </w:rPr>
      </w:pPr>
      <w:r>
        <w:rPr>
          <w:sz w:val="24"/>
        </w:rPr>
        <w:t>Organizace musí zajistit, aby byl účastník zaregistrován do systému pojištění Evropského sboru solidarity.</w:t>
      </w:r>
    </w:p>
    <w:p w14:paraId="0236D3BD" w14:textId="40F47E6E" w:rsidR="00FC0CF9" w:rsidRDefault="00FC0CF9" w:rsidP="00621CC5">
      <w:pPr>
        <w:keepNext/>
        <w:keepLines/>
        <w:spacing w:after="200"/>
        <w:jc w:val="both"/>
        <w:rPr>
          <w:snapToGrid/>
          <w:sz w:val="24"/>
          <w:szCs w:val="24"/>
        </w:rPr>
      </w:pPr>
      <w:r>
        <w:rPr>
          <w:snapToGrid/>
          <w:sz w:val="24"/>
        </w:rPr>
        <w:t>Organizace musí účastníka řádně informovat o tom, jak tento systém pojištění funguje, a o povinnosti získat před příjezdem do hostitelské země evropský průkaz zdravotního pojištění, pokud je bezplatný.</w:t>
      </w:r>
      <w:r>
        <w:rPr>
          <w:i/>
          <w:color w:val="70AD47" w:themeColor="accent6"/>
          <w:sz w:val="24"/>
        </w:rPr>
        <w:t>]</w:t>
      </w:r>
    </w:p>
    <w:p w14:paraId="3BD79966" w14:textId="0B643C38" w:rsidR="00406205" w:rsidRDefault="00942D57" w:rsidP="00621CC5">
      <w:pPr>
        <w:keepNext/>
        <w:keepLines/>
        <w:spacing w:after="200"/>
        <w:jc w:val="both"/>
        <w:rPr>
          <w:snapToGrid/>
          <w:sz w:val="24"/>
          <w:szCs w:val="24"/>
        </w:rPr>
      </w:pPr>
      <w:bookmarkStart w:id="79" w:name="_Toc524697211"/>
      <w:bookmarkStart w:id="80" w:name="_Toc529197676"/>
      <w:bookmarkStart w:id="81" w:name="_Toc530035890"/>
      <w:r>
        <w:rPr>
          <w:snapToGrid/>
          <w:sz w:val="24"/>
        </w:rPr>
        <w:t>Pokud bude činnost probíhat v jednom z jazyků, na které se vztahuje on-line jazyková podpora,</w:t>
      </w:r>
      <w:bookmarkEnd w:id="79"/>
      <w:bookmarkEnd w:id="80"/>
      <w:bookmarkEnd w:id="81"/>
      <w:r>
        <w:t xml:space="preserve"> </w:t>
      </w:r>
      <w:r w:rsidRPr="002326D3">
        <w:rPr>
          <w:snapToGrid/>
          <w:sz w:val="24"/>
          <w:szCs w:val="24"/>
        </w:rPr>
        <w:t>může organizace účastníkovi (s výjimkou rodilých mluvčích) zpřístupnit dva on-line testy jazykových znalostí:</w:t>
      </w:r>
      <w:r>
        <w:rPr>
          <w:snapToGrid/>
          <w:sz w:val="24"/>
        </w:rPr>
        <w:t xml:space="preserve"> jeden před zahájením činnosti a jeden na konci činnosti.</w:t>
      </w:r>
    </w:p>
    <w:p w14:paraId="789AF4BA" w14:textId="6B0E4EB6" w:rsidR="00904EF1" w:rsidRDefault="00904EF1" w:rsidP="00621CC5">
      <w:pPr>
        <w:keepNext/>
        <w:keepLines/>
        <w:spacing w:after="200"/>
        <w:jc w:val="both"/>
        <w:rPr>
          <w:snapToGrid/>
          <w:sz w:val="24"/>
          <w:szCs w:val="24"/>
        </w:rPr>
      </w:pPr>
      <w:r>
        <w:rPr>
          <w:snapToGrid/>
          <w:sz w:val="24"/>
        </w:rPr>
        <w:t>[</w:t>
      </w:r>
      <w:r>
        <w:rPr>
          <w:sz w:val="24"/>
          <w:highlight w:val="lightGray"/>
        </w:rPr>
        <w:t>Popište další povinnosti organizace, pokud jde o bydlení, praktická opatření, pravidla chování atd. Uveďte kontaktní údaje všech partnerských organizací zapojených do činnosti a jejich povinnosti.</w:t>
      </w:r>
      <w:r>
        <w:rPr>
          <w:snapToGrid/>
          <w:sz w:val="24"/>
        </w:rPr>
        <w:t>]</w:t>
      </w:r>
    </w:p>
    <w:p w14:paraId="13FF5C68" w14:textId="786A067D" w:rsidR="00681864" w:rsidRPr="00681864" w:rsidRDefault="00681864" w:rsidP="00681864">
      <w:pPr>
        <w:keepNext/>
        <w:keepLines/>
        <w:spacing w:after="200"/>
        <w:ind w:left="1865" w:hanging="1865"/>
        <w:jc w:val="both"/>
        <w:outlineLvl w:val="3"/>
        <w:rPr>
          <w:b/>
          <w:bCs/>
          <w:iCs/>
          <w:caps/>
          <w:snapToGrid/>
          <w:sz w:val="24"/>
          <w:szCs w:val="22"/>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Pr>
          <w:b/>
          <w:caps/>
          <w:snapToGrid/>
          <w:sz w:val="24"/>
        </w:rPr>
        <w:t>ČLÁNEK 8 – ETIKA A HODNOTY</w:t>
      </w:r>
      <w:bookmarkEnd w:id="82"/>
      <w:bookmarkEnd w:id="83"/>
      <w:bookmarkEnd w:id="84"/>
      <w:bookmarkEnd w:id="85"/>
      <w:bookmarkEnd w:id="86"/>
    </w:p>
    <w:p w14:paraId="09084F56" w14:textId="77777777" w:rsidR="00681864" w:rsidRPr="00681864" w:rsidRDefault="00681864" w:rsidP="00681864">
      <w:pPr>
        <w:spacing w:after="200"/>
        <w:jc w:val="both"/>
        <w:rPr>
          <w:rFonts w:eastAsia="Calibri"/>
          <w:snapToGrid/>
          <w:color w:val="000000"/>
          <w:sz w:val="24"/>
          <w:szCs w:val="24"/>
        </w:rPr>
      </w:pPr>
      <w:r>
        <w:rPr>
          <w:snapToGrid/>
          <w:color w:val="000000"/>
          <w:sz w:val="24"/>
        </w:rPr>
        <w:t>Akce musí být realizována v souladu s nejvyššími etickými normami</w:t>
      </w:r>
      <w:r>
        <w:rPr>
          <w:snapToGrid/>
          <w:sz w:val="24"/>
        </w:rPr>
        <w:t xml:space="preserve"> a platným právem </w:t>
      </w:r>
      <w:r>
        <w:rPr>
          <w:snapToGrid/>
          <w:color w:val="000000"/>
          <w:sz w:val="24"/>
        </w:rPr>
        <w:t>EU</w:t>
      </w:r>
      <w:r>
        <w:rPr>
          <w:snapToGrid/>
          <w:sz w:val="24"/>
        </w:rPr>
        <w:t xml:space="preserve">, mezinárodním </w:t>
      </w:r>
      <w:r>
        <w:rPr>
          <w:snapToGrid/>
          <w:color w:val="000000"/>
          <w:sz w:val="24"/>
        </w:rPr>
        <w:t xml:space="preserve">a vnitrostátním právem o etických zásadách. </w:t>
      </w:r>
    </w:p>
    <w:p w14:paraId="6C799387" w14:textId="1E80C3E3" w:rsidR="00681864" w:rsidRPr="00681864" w:rsidRDefault="00681864" w:rsidP="00681864">
      <w:pPr>
        <w:spacing w:after="200"/>
        <w:jc w:val="both"/>
        <w:rPr>
          <w:rFonts w:eastAsia="Calibri"/>
          <w:snapToGrid/>
          <w:color w:val="000000"/>
          <w:sz w:val="24"/>
          <w:szCs w:val="24"/>
        </w:rPr>
      </w:pPr>
      <w:r>
        <w:rPr>
          <w:snapToGrid/>
          <w:color w:val="000000"/>
          <w:sz w:val="24"/>
        </w:rPr>
        <w:t>Účastník se musí zavázat k dodržování základních hodnot EU (jako je úcta k lidské důstojnosti, svoboda, demokracie, rovnost, právní stát a lidská práva, včetně práv menšin) a jejich dodržování zajistit.</w:t>
      </w:r>
    </w:p>
    <w:p w14:paraId="7D53AEBC" w14:textId="0C1F6B18" w:rsidR="00681864" w:rsidRPr="00681864" w:rsidRDefault="00681864" w:rsidP="00681864">
      <w:pPr>
        <w:spacing w:after="200"/>
        <w:jc w:val="both"/>
        <w:rPr>
          <w:rFonts w:eastAsia="Calibri"/>
          <w:bCs/>
          <w:snapToGrid/>
          <w:sz w:val="24"/>
          <w:szCs w:val="24"/>
        </w:rPr>
      </w:pPr>
      <w:r>
        <w:rPr>
          <w:snapToGrid/>
          <w:sz w:val="24"/>
        </w:rPr>
        <w:t xml:space="preserve">V případě, že účastník poruší některou ze svých povinností podle tohoto článku, nemusí být finanční podpora vyplacena (viz kapitola 5). </w:t>
      </w:r>
    </w:p>
    <w:p w14:paraId="16FA2C7D" w14:textId="2F399F73" w:rsidR="00681864" w:rsidRPr="00681864" w:rsidRDefault="00681864" w:rsidP="00681864">
      <w:pPr>
        <w:keepNext/>
        <w:keepLines/>
        <w:spacing w:after="200"/>
        <w:ind w:left="1865" w:hanging="1865"/>
        <w:jc w:val="both"/>
        <w:outlineLvl w:val="3"/>
        <w:rPr>
          <w:rFonts w:eastAsia="SimSun"/>
          <w:b/>
          <w:bCs/>
          <w:iCs/>
          <w:caps/>
          <w:snapToGrid/>
          <w:sz w:val="24"/>
          <w:szCs w:val="22"/>
        </w:rPr>
      </w:pPr>
      <w:bookmarkStart w:id="91" w:name="_Toc24116105"/>
      <w:bookmarkStart w:id="92" w:name="_Toc24126582"/>
      <w:bookmarkStart w:id="93" w:name="_Toc88829372"/>
      <w:bookmarkStart w:id="94" w:name="_Toc90290912"/>
      <w:bookmarkStart w:id="95" w:name="_Toc120627677"/>
      <w:r>
        <w:rPr>
          <w:b/>
          <w:caps/>
          <w:snapToGrid/>
          <w:sz w:val="24"/>
        </w:rPr>
        <w:t>ČLÁNEK 9 – OCHRANA</w:t>
      </w:r>
      <w:bookmarkEnd w:id="87"/>
      <w:bookmarkEnd w:id="88"/>
      <w:bookmarkEnd w:id="89"/>
      <w:bookmarkEnd w:id="90"/>
      <w:r>
        <w:rPr>
          <w:b/>
          <w:caps/>
          <w:snapToGrid/>
          <w:sz w:val="24"/>
        </w:rPr>
        <w:t xml:space="preserve"> ÚDAJŮ</w:t>
      </w:r>
      <w:bookmarkEnd w:id="91"/>
      <w:bookmarkEnd w:id="92"/>
      <w:bookmarkEnd w:id="93"/>
      <w:bookmarkEnd w:id="94"/>
      <w:bookmarkEnd w:id="95"/>
    </w:p>
    <w:p w14:paraId="30048194" w14:textId="2BD6DDF6" w:rsidR="00681864" w:rsidRDefault="00681864" w:rsidP="00904EF1">
      <w:pPr>
        <w:spacing w:after="200"/>
        <w:jc w:val="both"/>
        <w:rPr>
          <w:snapToGrid/>
          <w:sz w:val="24"/>
          <w:szCs w:val="24"/>
        </w:rPr>
      </w:pPr>
      <w:r>
        <w:rPr>
          <w:snapToGrid/>
          <w:sz w:val="24"/>
        </w:rPr>
        <w:t>Za zpracování veškerých osobních údajů v rámci této dohody bude odpovědný správce údajů uvedený v prohlášení o ochraně soukromí v souladu s platnými právními předpisy o ochraně údajů, zejména nařízením (EU) 2018/1725</w:t>
      </w:r>
      <w:r w:rsidRPr="00681864">
        <w:rPr>
          <w:rFonts w:eastAsia="Calibri"/>
          <w:snapToGrid/>
          <w:sz w:val="24"/>
          <w:szCs w:val="24"/>
          <w:vertAlign w:val="superscript"/>
          <w:lang w:val="en-GB" w:eastAsia="en-US"/>
        </w:rPr>
        <w:footnoteReference w:id="9"/>
      </w:r>
      <w:r>
        <w:rPr>
          <w:snapToGrid/>
          <w:sz w:val="24"/>
        </w:rPr>
        <w:t xml:space="preserve"> a souvisejícími vnitrostátními zákony o ochraně údajů a pro účely stanovené v prohlášení o ochraně soukromí, které je k dispozici na adrese</w:t>
      </w:r>
      <w:r>
        <w:t xml:space="preserve"> </w:t>
      </w:r>
      <w:hyperlink r:id="rId9" w:tgtFrame="_blank" w:tooltip="Přejděte na odkaz" w:history="1">
        <w:r>
          <w:rPr>
            <w:snapToGrid/>
            <w:color w:val="0088CC"/>
            <w:sz w:val="24"/>
            <w:u w:val="single"/>
          </w:rPr>
          <w:t>https://ec.europa.eu/erasmus-esc-personal-data</w:t>
        </w:r>
      </w:hyperlink>
      <w:r>
        <w:rPr>
          <w:snapToGrid/>
          <w:sz w:val="24"/>
        </w:rPr>
        <w:t xml:space="preserve">. </w:t>
      </w:r>
    </w:p>
    <w:p w14:paraId="39ED48CF" w14:textId="58DEA5F3" w:rsidR="00107611" w:rsidRPr="0007468D" w:rsidRDefault="00107611" w:rsidP="00904EF1">
      <w:pPr>
        <w:pStyle w:val="paragraph"/>
        <w:numPr>
          <w:ilvl w:val="0"/>
          <w:numId w:val="0"/>
        </w:numPr>
        <w:spacing w:after="200"/>
      </w:pPr>
      <w:r>
        <w:t>Tyto údaje budou zpracovávány výhradně v souvislosti s prováděním dohody a následnými opatřeními ze strany organizace, národní agentury a Evropské komise, aniž by byla dotčena možnost jejich předání subjektům odpovědným za kontrolu a audit v souladu s právními předpisy EU (Účetní dvůr nebo Evropský úřad pro boj proti podvodům (OLAF)).</w:t>
      </w:r>
    </w:p>
    <w:p w14:paraId="5B690084" w14:textId="1B80BF2C" w:rsidR="00107611" w:rsidRPr="0007468D" w:rsidRDefault="00107611" w:rsidP="00904EF1">
      <w:pPr>
        <w:pStyle w:val="paragraph"/>
        <w:numPr>
          <w:ilvl w:val="0"/>
          <w:numId w:val="0"/>
        </w:numPr>
        <w:spacing w:after="200"/>
      </w:pPr>
      <w:r>
        <w:t>Účastník může na základě písemné žádosti získat přístup ke svým osobním údajům a opravit jakékoli informace, které jsou nepřesné nebo neúplné. Veškeré dotazy týkající se zpracování jeho osobních údajů by měl směřovat na organizaci a/nebo národní agenturu</w:t>
      </w:r>
      <w:r w:rsidR="0073798F" w:rsidRPr="00904EF1">
        <w:rPr>
          <w:rStyle w:val="FootnoteReference"/>
          <w:sz w:val="20"/>
          <w:szCs w:val="20"/>
          <w:vertAlign w:val="superscript"/>
          <w:lang w:val="en-GB" w:eastAsia="en-GB"/>
        </w:rPr>
        <w:footnoteReference w:id="10"/>
      </w:r>
      <w:r>
        <w:t>. Pokud jde o využívání údajů Evropskou komisí, může účastník podat stížnost na zpracování svých osobních údajů evropskému inspektorovi ochrany údajů.</w:t>
      </w:r>
    </w:p>
    <w:p w14:paraId="14141D4B" w14:textId="200925B6" w:rsidR="003B3D8F" w:rsidRPr="003B3D8F" w:rsidRDefault="003B3D8F" w:rsidP="003B3D8F">
      <w:pPr>
        <w:keepNext/>
        <w:keepLines/>
        <w:spacing w:after="200"/>
        <w:ind w:left="1865" w:hanging="1865"/>
        <w:jc w:val="both"/>
        <w:outlineLvl w:val="3"/>
        <w:rPr>
          <w:rFonts w:eastAsia="SimSun"/>
          <w:b/>
          <w:bCs/>
          <w:iCs/>
          <w:caps/>
          <w:snapToGrid/>
          <w:sz w:val="24"/>
          <w:szCs w:val="22"/>
        </w:rPr>
      </w:pPr>
      <w:bookmarkStart w:id="96" w:name="_Toc24116129"/>
      <w:bookmarkStart w:id="97" w:name="_Toc24126608"/>
      <w:bookmarkStart w:id="98" w:name="_Toc88829397"/>
      <w:bookmarkStart w:id="99" w:name="_Toc90290937"/>
      <w:bookmarkStart w:id="100" w:name="_Toc120627702"/>
      <w:r>
        <w:rPr>
          <w:b/>
          <w:caps/>
          <w:snapToGrid/>
          <w:sz w:val="24"/>
        </w:rPr>
        <w:lastRenderedPageBreak/>
        <w:t>ČLÁNEK 10 – UCHOVÁVÁNÍ ZÁZNAMŮ</w:t>
      </w:r>
      <w:bookmarkEnd w:id="96"/>
      <w:bookmarkEnd w:id="97"/>
      <w:bookmarkEnd w:id="98"/>
      <w:bookmarkEnd w:id="99"/>
      <w:bookmarkEnd w:id="100"/>
    </w:p>
    <w:p w14:paraId="44351745" w14:textId="0AD39610" w:rsidR="003B3D8F" w:rsidRPr="003B3D8F" w:rsidRDefault="003B3D8F" w:rsidP="003B3D8F">
      <w:pPr>
        <w:autoSpaceDE w:val="0"/>
        <w:autoSpaceDN w:val="0"/>
        <w:adjustRightInd w:val="0"/>
        <w:spacing w:after="200"/>
        <w:jc w:val="both"/>
        <w:rPr>
          <w:rFonts w:eastAsia="Calibri"/>
          <w:snapToGrid/>
          <w:sz w:val="24"/>
          <w:szCs w:val="24"/>
        </w:rPr>
      </w:pPr>
      <w:r>
        <w:rPr>
          <w:snapToGrid/>
          <w:sz w:val="24"/>
        </w:rPr>
        <w:t xml:space="preserve">Účastník musí uchovávat podklady po dobu trvání činnosti, aby prokázal její řádné provádění. </w:t>
      </w:r>
    </w:p>
    <w:p w14:paraId="4A0091E5" w14:textId="0FEF10BE" w:rsidR="003B3D8F" w:rsidRPr="003B3D8F" w:rsidRDefault="003B3D8F" w:rsidP="003B3D8F">
      <w:pPr>
        <w:autoSpaceDE w:val="0"/>
        <w:autoSpaceDN w:val="0"/>
        <w:adjustRightInd w:val="0"/>
        <w:spacing w:after="200"/>
        <w:jc w:val="both"/>
        <w:rPr>
          <w:rFonts w:eastAsia="Calibri"/>
          <w:snapToGrid/>
          <w:sz w:val="24"/>
          <w:szCs w:val="24"/>
        </w:rPr>
      </w:pPr>
      <w:r>
        <w:rPr>
          <w:snapToGrid/>
          <w:sz w:val="24"/>
        </w:rPr>
        <w:t xml:space="preserve">Tyto záznamy a podpůrné dokumenty musí být na vyžádání nebo v rámci kontrol, přezkumů, auditů nebo vyšetřování (viz článek 13) zpřístupněny. </w:t>
      </w:r>
    </w:p>
    <w:p w14:paraId="12E9EBD1" w14:textId="01F53126" w:rsidR="003B3D8F" w:rsidRPr="003B3D8F" w:rsidRDefault="003B3D8F" w:rsidP="003B3D8F">
      <w:pPr>
        <w:autoSpaceDE w:val="0"/>
        <w:autoSpaceDN w:val="0"/>
        <w:adjustRightInd w:val="0"/>
        <w:spacing w:after="200"/>
        <w:jc w:val="both"/>
        <w:rPr>
          <w:rFonts w:eastAsia="Calibri"/>
          <w:snapToGrid/>
          <w:sz w:val="24"/>
          <w:szCs w:val="24"/>
        </w:rPr>
      </w:pPr>
      <w:r>
        <w:rPr>
          <w:snapToGrid/>
          <w:sz w:val="24"/>
        </w:rPr>
        <w:t>Jedná-li se o probíhající kontroly, přezkumy, audity, vyšetřování, soudní spor či jinou formu vymáhání nároků vyplývajících z této dohody, musí účastník uchovávat tyto záznamy a další podpůrnou dokumentaci až do skončení těchto procesů či řízení.</w:t>
      </w:r>
    </w:p>
    <w:p w14:paraId="33085A70" w14:textId="03759059" w:rsidR="003B3D8F" w:rsidRPr="003B3D8F" w:rsidRDefault="003B3D8F" w:rsidP="003B3D8F">
      <w:pPr>
        <w:autoSpaceDE w:val="0"/>
        <w:autoSpaceDN w:val="0"/>
        <w:adjustRightInd w:val="0"/>
        <w:spacing w:after="200"/>
        <w:jc w:val="both"/>
        <w:rPr>
          <w:rFonts w:eastAsia="Calibri"/>
          <w:snapToGrid/>
          <w:sz w:val="24"/>
          <w:szCs w:val="24"/>
        </w:rPr>
      </w:pPr>
      <w:r>
        <w:rPr>
          <w:snapToGrid/>
          <w:sz w:val="24"/>
        </w:rPr>
        <w:t xml:space="preserve">Účastník musí uchovávat originály dokumentů. Digitální a digitalizované dokumenty se považují za originály, povolují-li to platné vnitrostátní právní předpisy. Organizace může akceptovat dokumenty jinak než ve formě originálu, pokud poskytují srovnatelnou úroveň záruky.  </w:t>
      </w:r>
    </w:p>
    <w:p w14:paraId="2163D3B7" w14:textId="0CBA025C" w:rsidR="003B3D8F" w:rsidRPr="003B3D8F" w:rsidRDefault="004964C6" w:rsidP="003B3D8F">
      <w:pPr>
        <w:keepNext/>
        <w:keepLines/>
        <w:spacing w:after="200"/>
        <w:ind w:left="1865" w:hanging="1865"/>
        <w:jc w:val="both"/>
        <w:outlineLvl w:val="3"/>
        <w:rPr>
          <w:rFonts w:eastAsia="SimSun"/>
          <w:b/>
          <w:bCs/>
          <w:iCs/>
          <w:caps/>
          <w:snapToGrid/>
          <w:sz w:val="24"/>
          <w:szCs w:val="22"/>
        </w:rPr>
      </w:pPr>
      <w:bookmarkStart w:id="101" w:name="_Toc530035913"/>
      <w:bookmarkStart w:id="102" w:name="_Toc24116132"/>
      <w:bookmarkStart w:id="103" w:name="_Toc24126611"/>
      <w:bookmarkStart w:id="104" w:name="_Toc88829400"/>
      <w:bookmarkStart w:id="105" w:name="_Toc90290940"/>
      <w:bookmarkStart w:id="106" w:name="_Toc120627705"/>
      <w:bookmarkStart w:id="107" w:name="_Toc435108995"/>
      <w:bookmarkStart w:id="108" w:name="_Toc524697227"/>
      <w:bookmarkStart w:id="109" w:name="_Toc529197722"/>
      <w:r>
        <w:rPr>
          <w:b/>
          <w:caps/>
          <w:snapToGrid/>
          <w:sz w:val="24"/>
        </w:rPr>
        <w:t>ČLÁNEK 11 – ZPRÁVA ÚČASTNÍKA</w:t>
      </w:r>
      <w:bookmarkEnd w:id="101"/>
      <w:bookmarkEnd w:id="102"/>
      <w:bookmarkEnd w:id="103"/>
      <w:bookmarkEnd w:id="104"/>
      <w:bookmarkEnd w:id="105"/>
      <w:bookmarkEnd w:id="106"/>
      <w:r>
        <w:rPr>
          <w:b/>
          <w:caps/>
          <w:snapToGrid/>
          <w:sz w:val="24"/>
        </w:rPr>
        <w:t xml:space="preserve"> </w:t>
      </w:r>
    </w:p>
    <w:p w14:paraId="13600C0C" w14:textId="43AED0A4" w:rsidR="003B3D8F" w:rsidRPr="00904EF1" w:rsidRDefault="004964C6" w:rsidP="00066043">
      <w:pPr>
        <w:tabs>
          <w:tab w:val="left" w:pos="0"/>
        </w:tabs>
        <w:spacing w:after="200"/>
        <w:jc w:val="both"/>
        <w:rPr>
          <w:rFonts w:eastAsia="Calibri"/>
          <w:snapToGrid/>
          <w:sz w:val="24"/>
          <w:szCs w:val="22"/>
        </w:rPr>
      </w:pPr>
      <w:bookmarkStart w:id="110" w:name="_Toc435108996"/>
      <w:bookmarkStart w:id="111" w:name="_Toc529197723"/>
      <w:r>
        <w:rPr>
          <w:sz w:val="24"/>
        </w:rPr>
        <w:t>Účastník vyhotoví zprávu nejpozději 30 dnů po skončení období činnosti prostřednictvím on-line dotazníku poskytujícího zpětnou vazbu ohledně věcných a kvalitativních prvků období činnosti, jakož i související přípravy a následných opatření.</w:t>
      </w:r>
    </w:p>
    <w:bookmarkEnd w:id="107"/>
    <w:bookmarkEnd w:id="108"/>
    <w:bookmarkEnd w:id="109"/>
    <w:bookmarkEnd w:id="110"/>
    <w:bookmarkEnd w:id="111"/>
    <w:p w14:paraId="24D7B346" w14:textId="7039BDD6" w:rsidR="003B3D8F" w:rsidRPr="003B3D8F" w:rsidRDefault="003B3D8F" w:rsidP="00C4164E">
      <w:pPr>
        <w:spacing w:after="200"/>
        <w:jc w:val="both"/>
        <w:rPr>
          <w:rFonts w:eastAsia="Calibri"/>
          <w:snapToGrid/>
          <w:sz w:val="24"/>
          <w:szCs w:val="24"/>
        </w:rPr>
      </w:pPr>
      <w:r>
        <w:rPr>
          <w:snapToGrid/>
          <w:sz w:val="24"/>
        </w:rPr>
        <w:t xml:space="preserve">Pokud účastník zprávu nepředloží, nevydá organizace osvědčení o účasti. </w:t>
      </w:r>
      <w:bookmarkStart w:id="112" w:name="_Toc435109007"/>
      <w:bookmarkStart w:id="113" w:name="_Toc529197730"/>
      <w:bookmarkStart w:id="114" w:name="_Toc530035914"/>
      <w:bookmarkStart w:id="115" w:name="_Toc24116138"/>
      <w:bookmarkStart w:id="116" w:name="_Toc24126617"/>
      <w:bookmarkStart w:id="117" w:name="_Toc88829406"/>
      <w:bookmarkStart w:id="118" w:name="_Toc90290946"/>
      <w:bookmarkStart w:id="119" w:name="_Toc524697229"/>
    </w:p>
    <w:p w14:paraId="02054133" w14:textId="4B253DE5" w:rsidR="003B3D8F" w:rsidRPr="003B3D8F" w:rsidRDefault="000D3158" w:rsidP="003B3D8F">
      <w:pPr>
        <w:keepNext/>
        <w:keepLines/>
        <w:spacing w:after="200"/>
        <w:ind w:left="1865" w:hanging="1865"/>
        <w:jc w:val="both"/>
        <w:outlineLvl w:val="3"/>
        <w:rPr>
          <w:rFonts w:eastAsia="SimSun"/>
          <w:b/>
          <w:bCs/>
          <w:iCs/>
          <w:caps/>
          <w:snapToGrid/>
          <w:sz w:val="24"/>
          <w:szCs w:val="22"/>
        </w:rPr>
      </w:pPr>
      <w:bookmarkStart w:id="120" w:name="_Toc120627711"/>
      <w:r>
        <w:rPr>
          <w:b/>
          <w:caps/>
          <w:snapToGrid/>
          <w:sz w:val="24"/>
        </w:rPr>
        <w:t xml:space="preserve">ČLÁNEK 12 – PLATBY </w:t>
      </w:r>
      <w:bookmarkEnd w:id="112"/>
      <w:bookmarkEnd w:id="113"/>
      <w:bookmarkEnd w:id="114"/>
      <w:bookmarkEnd w:id="115"/>
      <w:bookmarkEnd w:id="116"/>
      <w:bookmarkEnd w:id="117"/>
      <w:bookmarkEnd w:id="118"/>
      <w:bookmarkEnd w:id="120"/>
      <w:r>
        <w:rPr>
          <w:b/>
          <w:caps/>
          <w:snapToGrid/>
          <w:sz w:val="24"/>
        </w:rPr>
        <w:t xml:space="preserve">A PLATEBNÍ UJEDNÁNÍ </w:t>
      </w:r>
      <w:bookmarkEnd w:id="119"/>
    </w:p>
    <w:p w14:paraId="1E29AFEA" w14:textId="34CB0ACA" w:rsidR="007E1301" w:rsidRPr="007E1301" w:rsidRDefault="007E1301" w:rsidP="007E1301">
      <w:pPr>
        <w:jc w:val="both"/>
        <w:rPr>
          <w:sz w:val="24"/>
          <w:szCs w:val="24"/>
        </w:rPr>
      </w:pPr>
      <w:r>
        <w:rPr>
          <w:sz w:val="24"/>
        </w:rPr>
        <w:t>[</w:t>
      </w:r>
      <w:r>
        <w:rPr>
          <w:sz w:val="24"/>
          <w:highlight w:val="lightGray"/>
        </w:rPr>
        <w:t>Uveďte v tomto oddíle popis platebních ujednání, která hodláte zavést, jako jsou zálohy, náhrady za jízdenky atd.</w:t>
      </w:r>
      <w:r>
        <w:rPr>
          <w:sz w:val="24"/>
        </w:rPr>
        <w:t>]</w:t>
      </w:r>
    </w:p>
    <w:p w14:paraId="4197FDF6" w14:textId="77777777" w:rsidR="007E1301" w:rsidRPr="002326D3" w:rsidRDefault="007E1301" w:rsidP="007E1301">
      <w:pPr>
        <w:ind w:left="567" w:hanging="567"/>
        <w:jc w:val="both"/>
        <w:rPr>
          <w:sz w:val="24"/>
          <w:szCs w:val="24"/>
        </w:rPr>
      </w:pPr>
    </w:p>
    <w:p w14:paraId="404E705C" w14:textId="3C37B1A6" w:rsidR="007E1301" w:rsidRDefault="007E1301" w:rsidP="00FC6583">
      <w:pPr>
        <w:jc w:val="both"/>
        <w:rPr>
          <w:color w:val="70AD47" w:themeColor="accent6"/>
          <w:sz w:val="24"/>
          <w:szCs w:val="24"/>
        </w:rPr>
      </w:pPr>
      <w:r>
        <w:rPr>
          <w:sz w:val="24"/>
        </w:rPr>
        <w:t>[</w:t>
      </w:r>
      <w:r>
        <w:rPr>
          <w:sz w:val="24"/>
          <w:highlight w:val="lightGray"/>
        </w:rPr>
        <w:t>Uveďte podrobný popis platebních ujednání týkajících se finanční podpory (musí být upřesněna data, částky a měna každé platby).</w:t>
      </w:r>
      <w:r>
        <w:rPr>
          <w:sz w:val="24"/>
        </w:rPr>
        <w:t>]</w:t>
      </w:r>
      <w:r>
        <w:rPr>
          <w:color w:val="70AD47" w:themeColor="accent6"/>
          <w:sz w:val="24"/>
        </w:rPr>
        <w:t xml:space="preserve"> </w:t>
      </w:r>
    </w:p>
    <w:p w14:paraId="4D6CA17C" w14:textId="77777777" w:rsidR="007E1301" w:rsidRPr="002326D3" w:rsidRDefault="007E1301" w:rsidP="00235926">
      <w:pPr>
        <w:jc w:val="both"/>
        <w:rPr>
          <w:color w:val="70AD47" w:themeColor="accent6"/>
          <w:sz w:val="24"/>
          <w:szCs w:val="24"/>
        </w:rPr>
      </w:pPr>
    </w:p>
    <w:p w14:paraId="6AF4C3C6" w14:textId="20258CDF" w:rsidR="003B3D8F" w:rsidRPr="003B3D8F" w:rsidRDefault="00CC1C20" w:rsidP="00243613">
      <w:pPr>
        <w:keepNext/>
        <w:keepLines/>
        <w:spacing w:after="200"/>
        <w:ind w:left="1701" w:hanging="1701"/>
        <w:jc w:val="both"/>
        <w:outlineLvl w:val="3"/>
        <w:rPr>
          <w:rFonts w:eastAsia="SimSun"/>
          <w:b/>
          <w:bCs/>
          <w:iCs/>
          <w:caps/>
          <w:snapToGrid/>
          <w:sz w:val="24"/>
          <w:szCs w:val="22"/>
        </w:rPr>
      </w:pPr>
      <w:bookmarkStart w:id="121" w:name="_Toc435109019"/>
      <w:bookmarkStart w:id="122" w:name="_Toc524697235"/>
      <w:bookmarkStart w:id="123" w:name="_Toc529197753"/>
      <w:bookmarkStart w:id="124" w:name="_Toc530035917"/>
      <w:bookmarkStart w:id="125" w:name="_Toc24116153"/>
      <w:bookmarkStart w:id="126" w:name="_Toc24126632"/>
      <w:bookmarkStart w:id="127" w:name="_Toc88829421"/>
      <w:bookmarkStart w:id="128" w:name="_Toc90290961"/>
      <w:bookmarkStart w:id="129" w:name="_Toc120627721"/>
      <w:bookmarkStart w:id="130" w:name="_Toc530035932"/>
      <w:bookmarkStart w:id="131" w:name="_Toc24116183"/>
      <w:bookmarkStart w:id="132" w:name="_Toc24126662"/>
      <w:bookmarkStart w:id="133" w:name="_Toc435109081"/>
      <w:bookmarkStart w:id="134" w:name="_Toc524697250"/>
      <w:bookmarkStart w:id="135" w:name="_Toc529197788"/>
      <w:r>
        <w:rPr>
          <w:b/>
          <w:caps/>
          <w:snapToGrid/>
          <w:sz w:val="24"/>
        </w:rPr>
        <w:t xml:space="preserve">ČLÁNEK 13 – KONTROLY, PŘEZKUMY, AUDITY A VYŠETŘOVÁNÍ </w:t>
      </w:r>
      <w:bookmarkEnd w:id="121"/>
      <w:bookmarkEnd w:id="122"/>
      <w:bookmarkEnd w:id="123"/>
      <w:bookmarkEnd w:id="124"/>
      <w:bookmarkEnd w:id="125"/>
      <w:bookmarkEnd w:id="126"/>
      <w:bookmarkEnd w:id="127"/>
      <w:bookmarkEnd w:id="128"/>
      <w:bookmarkEnd w:id="129"/>
    </w:p>
    <w:p w14:paraId="64D0290B" w14:textId="49088489" w:rsidR="00146257" w:rsidRDefault="00146257" w:rsidP="007B5E1E">
      <w:pPr>
        <w:tabs>
          <w:tab w:val="left" w:pos="851"/>
        </w:tabs>
        <w:spacing w:after="200"/>
        <w:jc w:val="both"/>
        <w:rPr>
          <w:sz w:val="24"/>
          <w:szCs w:val="24"/>
        </w:rPr>
      </w:pPr>
      <w:r>
        <w:rPr>
          <w:sz w:val="24"/>
        </w:rPr>
        <w:t>Účastník se zavazuje, že bude s náležitou péčí spolupracovat a že poskytne veškeré informace, které si vyžádají Evropská komise, národní agentura [</w:t>
      </w:r>
      <w:r>
        <w:rPr>
          <w:sz w:val="24"/>
          <w:highlight w:val="lightGray"/>
        </w:rPr>
        <w:t>země organizace</w:t>
      </w:r>
      <w:r>
        <w:rPr>
          <w:sz w:val="24"/>
        </w:rPr>
        <w:t>], organizace nebo jiný externí subjekt pověřený Evropskou komisí nebo národní agenturou [</w:t>
      </w:r>
      <w:r>
        <w:rPr>
          <w:sz w:val="24"/>
          <w:highlight w:val="lightGray"/>
        </w:rPr>
        <w:t>země organizace</w:t>
      </w:r>
      <w:r>
        <w:rPr>
          <w:sz w:val="24"/>
        </w:rPr>
        <w:t>] k ověření, zda projekt a ustanovení dohody jsou či byly řádně prováděny.</w:t>
      </w:r>
    </w:p>
    <w:p w14:paraId="015652E1" w14:textId="4769CB63" w:rsidR="003B3D8F" w:rsidRPr="003B3D8F" w:rsidRDefault="003B3D8F" w:rsidP="003B3D8F">
      <w:pPr>
        <w:tabs>
          <w:tab w:val="left" w:pos="851"/>
        </w:tabs>
        <w:spacing w:after="200"/>
        <w:jc w:val="both"/>
        <w:rPr>
          <w:rFonts w:eastAsia="Calibri"/>
          <w:snapToGrid/>
          <w:sz w:val="24"/>
          <w:szCs w:val="24"/>
        </w:rPr>
      </w:pPr>
      <w:r>
        <w:rPr>
          <w:snapToGrid/>
          <w:sz w:val="24"/>
        </w:rPr>
        <w:t>Pokud o to tyto orgány požádají, musí účastník poskytnout úplné, přesné a kompletní informace v</w:t>
      </w:r>
      <w:r w:rsidR="002326D3">
        <w:rPr>
          <w:snapToGrid/>
          <w:sz w:val="24"/>
        </w:rPr>
        <w:t> </w:t>
      </w:r>
      <w:r>
        <w:rPr>
          <w:snapToGrid/>
          <w:sz w:val="24"/>
        </w:rPr>
        <w:t>požadovaném formátu a lhůtě.</w:t>
      </w:r>
    </w:p>
    <w:p w14:paraId="342369D2" w14:textId="2AEFF50A" w:rsidR="001966AA" w:rsidRPr="003B3D8F" w:rsidRDefault="001966AA" w:rsidP="003B3D8F">
      <w:pPr>
        <w:tabs>
          <w:tab w:val="left" w:pos="851"/>
        </w:tabs>
        <w:spacing w:after="200"/>
        <w:jc w:val="both"/>
        <w:rPr>
          <w:rFonts w:eastAsia="Calibri"/>
          <w:snapToGrid/>
          <w:sz w:val="24"/>
          <w:szCs w:val="24"/>
        </w:rPr>
      </w:pPr>
      <w:r>
        <w:rPr>
          <w:snapToGrid/>
          <w:sz w:val="24"/>
        </w:rPr>
        <w:t>Jakákoli zjištění týkající se dohody mohou vést k žádosti o vrácení, zadržení plateb nebo k dalším právním krokům v souladu s platnými vnitrostátními právními předpisy.</w:t>
      </w:r>
    </w:p>
    <w:p w14:paraId="47DD00C0" w14:textId="40AC79AB" w:rsidR="003B3D8F" w:rsidRPr="003B3D8F" w:rsidRDefault="003B3D8F" w:rsidP="00066043">
      <w:pPr>
        <w:keepNext/>
        <w:keepLines/>
        <w:spacing w:before="200" w:after="200"/>
        <w:jc w:val="both"/>
        <w:outlineLvl w:val="0"/>
        <w:rPr>
          <w:rFonts w:eastAsia="SimSun"/>
          <w:b/>
          <w:bCs/>
          <w:caps/>
          <w:snapToGrid/>
          <w:sz w:val="24"/>
          <w:szCs w:val="28"/>
          <w:u w:val="single"/>
        </w:rPr>
      </w:pPr>
      <w:bookmarkStart w:id="136" w:name="_Toc530035921"/>
      <w:bookmarkStart w:id="137" w:name="_Toc24116163"/>
      <w:bookmarkStart w:id="138" w:name="_Toc24126642"/>
      <w:bookmarkStart w:id="139" w:name="_Toc88829431"/>
      <w:bookmarkStart w:id="140" w:name="_Toc90290971"/>
      <w:bookmarkStart w:id="141" w:name="_Toc120627729"/>
      <w:bookmarkStart w:id="142" w:name="_Toc435109054"/>
      <w:bookmarkStart w:id="143" w:name="_Toc524697239"/>
      <w:bookmarkStart w:id="144" w:name="_Toc529197765"/>
      <w:r>
        <w:rPr>
          <w:b/>
          <w:caps/>
          <w:snapToGrid/>
          <w:sz w:val="24"/>
          <w:u w:val="single"/>
        </w:rPr>
        <w:t>KAPITOLA 5</w:t>
      </w:r>
      <w:r>
        <w:rPr>
          <w:b/>
          <w:caps/>
          <w:snapToGrid/>
          <w:sz w:val="24"/>
          <w:u w:val="single"/>
        </w:rPr>
        <w:tab/>
      </w:r>
      <w:bookmarkEnd w:id="136"/>
      <w:r>
        <w:rPr>
          <w:b/>
          <w:caps/>
          <w:snapToGrid/>
          <w:sz w:val="24"/>
          <w:u w:val="single"/>
        </w:rPr>
        <w:t>NÁSLEDKY PORUŠENÍ POVINNOSTI</w:t>
      </w:r>
      <w:bookmarkEnd w:id="137"/>
      <w:bookmarkEnd w:id="138"/>
      <w:bookmarkEnd w:id="139"/>
      <w:bookmarkEnd w:id="140"/>
      <w:bookmarkEnd w:id="141"/>
    </w:p>
    <w:p w14:paraId="4F62687C" w14:textId="07C7B92F" w:rsidR="003B3D8F" w:rsidRDefault="005C54A9" w:rsidP="003B3D8F">
      <w:pPr>
        <w:keepNext/>
        <w:keepLines/>
        <w:spacing w:after="200"/>
        <w:ind w:left="1865" w:hanging="1865"/>
        <w:jc w:val="both"/>
        <w:outlineLvl w:val="3"/>
        <w:rPr>
          <w:rFonts w:eastAsia="SimSun"/>
          <w:b/>
          <w:bCs/>
          <w:iCs/>
          <w:caps/>
          <w:snapToGrid/>
          <w:sz w:val="24"/>
          <w:szCs w:val="22"/>
        </w:rPr>
      </w:pPr>
      <w:bookmarkStart w:id="145" w:name="_Toc530035922"/>
      <w:bookmarkStart w:id="146" w:name="_Toc24116164"/>
      <w:bookmarkStart w:id="147" w:name="_Toc24126643"/>
      <w:bookmarkStart w:id="148" w:name="_Toc88829432"/>
      <w:bookmarkStart w:id="149" w:name="_Toc90290972"/>
      <w:bookmarkStart w:id="150" w:name="_Toc120627730"/>
      <w:bookmarkStart w:id="151" w:name="_Toc530035926"/>
      <w:bookmarkStart w:id="152" w:name="_Toc530036537"/>
      <w:bookmarkStart w:id="153" w:name="_Toc530036723"/>
      <w:bookmarkStart w:id="154" w:name="_Toc530396675"/>
      <w:bookmarkStart w:id="155" w:name="_Toc530396870"/>
      <w:bookmarkStart w:id="156" w:name="_Toc530397252"/>
      <w:bookmarkStart w:id="157" w:name="_Toc532247928"/>
      <w:bookmarkStart w:id="158" w:name="_Toc435109064"/>
      <w:bookmarkStart w:id="159" w:name="_Toc520307895"/>
      <w:bookmarkStart w:id="160" w:name="_Toc520308889"/>
      <w:bookmarkStart w:id="161" w:name="_Toc520309063"/>
      <w:bookmarkStart w:id="162" w:name="_Toc520310544"/>
      <w:bookmarkStart w:id="163" w:name="_Toc520310714"/>
      <w:bookmarkStart w:id="164" w:name="_Toc520311108"/>
      <w:bookmarkStart w:id="165" w:name="_Toc520311274"/>
      <w:bookmarkStart w:id="166" w:name="_Toc520313572"/>
      <w:bookmarkStart w:id="167" w:name="_Toc520313736"/>
      <w:bookmarkStart w:id="168" w:name="_Toc524529611"/>
      <w:bookmarkStart w:id="169" w:name="_Toc524530023"/>
      <w:bookmarkStart w:id="170" w:name="_Toc524530191"/>
      <w:bookmarkStart w:id="171" w:name="_Toc524530359"/>
      <w:bookmarkStart w:id="172" w:name="_Toc524545661"/>
      <w:bookmarkStart w:id="173" w:name="_Toc524545826"/>
      <w:bookmarkStart w:id="174" w:name="_Toc524546153"/>
      <w:bookmarkStart w:id="175" w:name="_Toc524596543"/>
      <w:bookmarkStart w:id="176" w:name="_Toc524697243"/>
      <w:bookmarkStart w:id="177" w:name="_Toc524697389"/>
      <w:bookmarkStart w:id="178" w:name="_Toc524697652"/>
      <w:bookmarkStart w:id="179" w:name="_Toc524697985"/>
      <w:bookmarkStart w:id="180" w:name="_Toc524884405"/>
      <w:bookmarkStart w:id="181" w:name="_Toc524885395"/>
      <w:bookmarkStart w:id="182" w:name="_Toc524885567"/>
      <w:bookmarkStart w:id="183" w:name="_Toc524885739"/>
      <w:bookmarkStart w:id="184" w:name="_Toc525221095"/>
      <w:bookmarkStart w:id="185" w:name="_Toc525221274"/>
      <w:bookmarkStart w:id="186" w:name="_Toc525254359"/>
      <w:bookmarkStart w:id="187" w:name="_Toc529197775"/>
      <w:bookmarkStart w:id="188" w:name="_Toc12092779"/>
      <w:bookmarkStart w:id="189" w:name="_Toc97092421"/>
      <w:bookmarkStart w:id="190" w:name="_Toc530035931"/>
      <w:bookmarkStart w:id="191" w:name="_Toc435109078"/>
      <w:bookmarkStart w:id="192" w:name="_Toc524697249"/>
      <w:bookmarkStart w:id="193" w:name="_Toc529197785"/>
      <w:bookmarkStart w:id="194" w:name="_Toc24116180"/>
      <w:bookmarkStart w:id="195" w:name="_Toc24126659"/>
      <w:bookmarkStart w:id="196" w:name="_Toc88829448"/>
      <w:bookmarkStart w:id="197" w:name="_Toc90290988"/>
      <w:bookmarkStart w:id="198" w:name="_Toc12062774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b/>
          <w:caps/>
          <w:snapToGrid/>
          <w:sz w:val="24"/>
        </w:rPr>
        <w:t>ČLÁNEK 14 – POZASTAVENÍ DOHODY</w:t>
      </w:r>
      <w:bookmarkEnd w:id="189"/>
      <w:bookmarkEnd w:id="190"/>
      <w:bookmarkEnd w:id="191"/>
      <w:bookmarkEnd w:id="192"/>
      <w:bookmarkEnd w:id="193"/>
      <w:bookmarkEnd w:id="194"/>
      <w:bookmarkEnd w:id="195"/>
      <w:bookmarkEnd w:id="196"/>
      <w:bookmarkEnd w:id="197"/>
      <w:bookmarkEnd w:id="198"/>
    </w:p>
    <w:p w14:paraId="35B322BA" w14:textId="7D350BF5" w:rsidR="005D1F0B" w:rsidRDefault="005D1F0B" w:rsidP="005D1F0B">
      <w:pPr>
        <w:spacing w:after="200"/>
        <w:jc w:val="both"/>
        <w:rPr>
          <w:snapToGrid/>
          <w:sz w:val="24"/>
          <w:szCs w:val="24"/>
        </w:rPr>
      </w:pPr>
      <w:r>
        <w:rPr>
          <w:snapToGrid/>
          <w:sz w:val="24"/>
        </w:rPr>
        <w:t xml:space="preserve">Dohoda může být z podnětu účastníka nebo organizace pozastavena, pokud výjimečné okolnosti, zejména vyšší moc (viz článek 17), znemožňují nebo nadměrně ztěžují její provádění. Dohoda může být pozastavena vždy se souhlasem druhé strany a ke dni dohodnutému oběma stranami na základě dodatku a může být následně obnovena. </w:t>
      </w:r>
    </w:p>
    <w:p w14:paraId="1CD0F203" w14:textId="77777777" w:rsidR="00326D59" w:rsidRPr="003B3D8F" w:rsidRDefault="00326D59" w:rsidP="00326D59">
      <w:pPr>
        <w:tabs>
          <w:tab w:val="left" w:pos="0"/>
        </w:tabs>
        <w:spacing w:after="200"/>
        <w:jc w:val="both"/>
        <w:rPr>
          <w:snapToGrid/>
          <w:sz w:val="24"/>
          <w:szCs w:val="24"/>
        </w:rPr>
      </w:pPr>
      <w:r>
        <w:rPr>
          <w:snapToGrid/>
          <w:sz w:val="24"/>
        </w:rPr>
        <w:t xml:space="preserve">Pozastavení </w:t>
      </w:r>
      <w:r>
        <w:rPr>
          <w:b/>
          <w:snapToGrid/>
          <w:sz w:val="24"/>
        </w:rPr>
        <w:t>nabývá účinku</w:t>
      </w:r>
      <w:r>
        <w:rPr>
          <w:snapToGrid/>
          <w:sz w:val="24"/>
        </w:rPr>
        <w:t xml:space="preserve"> dnem, na kterém se strany dohodnou.</w:t>
      </w:r>
    </w:p>
    <w:p w14:paraId="5A57391F" w14:textId="1584E622" w:rsidR="00326D59" w:rsidRPr="00066043" w:rsidRDefault="00326D59" w:rsidP="00326D59">
      <w:pPr>
        <w:spacing w:after="200"/>
        <w:jc w:val="both"/>
        <w:rPr>
          <w:rFonts w:eastAsia="Calibri"/>
          <w:snapToGrid/>
          <w:sz w:val="24"/>
          <w:szCs w:val="22"/>
        </w:rPr>
      </w:pPr>
      <w:r>
        <w:rPr>
          <w:snapToGrid/>
          <w:sz w:val="24"/>
        </w:rPr>
        <w:lastRenderedPageBreak/>
        <w:t>Organizace může dohodu kdykoli pozastavit, pokud se účastník dopustil nebo je podezřelý z toho, že se dopustil:</w:t>
      </w:r>
    </w:p>
    <w:p w14:paraId="5F373A3E" w14:textId="77777777" w:rsidR="00326D59" w:rsidRPr="003B3D8F" w:rsidRDefault="00326D59" w:rsidP="00326D59">
      <w:pPr>
        <w:numPr>
          <w:ilvl w:val="0"/>
          <w:numId w:val="36"/>
        </w:numPr>
        <w:spacing w:after="200"/>
        <w:jc w:val="both"/>
        <w:rPr>
          <w:snapToGrid/>
          <w:color w:val="000000"/>
          <w:sz w:val="24"/>
          <w:szCs w:val="24"/>
        </w:rPr>
      </w:pPr>
      <w:r>
        <w:rPr>
          <w:snapToGrid/>
          <w:color w:val="000000"/>
          <w:sz w:val="24"/>
        </w:rPr>
        <w:t xml:space="preserve">závažných chyb, nesrovnalostí či podvodu nebo </w:t>
      </w:r>
    </w:p>
    <w:p w14:paraId="64C25083" w14:textId="77777777" w:rsidR="00326D59" w:rsidRPr="003B3D8F" w:rsidRDefault="00326D59" w:rsidP="00326D59">
      <w:pPr>
        <w:numPr>
          <w:ilvl w:val="0"/>
          <w:numId w:val="36"/>
        </w:numPr>
        <w:spacing w:after="200"/>
        <w:jc w:val="both"/>
        <w:rPr>
          <w:snapToGrid/>
          <w:color w:val="000000"/>
          <w:sz w:val="24"/>
          <w:szCs w:val="24"/>
        </w:rPr>
      </w:pPr>
      <w:r>
        <w:rPr>
          <w:snapToGrid/>
          <w:sz w:val="24"/>
        </w:rPr>
        <w:t>závažného porušení povinností vyplývajících z této dohody nebo při řízení o udělení grantu (včetně nesprávné realizace akce, předložení nepravdivých informací, neposkytnutí požadovaných informací, porušení etických pravidel (v příslušném případě) atd.).</w:t>
      </w:r>
    </w:p>
    <w:p w14:paraId="0D979253" w14:textId="77777777" w:rsidR="00326D59" w:rsidRPr="003B3D8F" w:rsidRDefault="00326D59" w:rsidP="00326D59">
      <w:pPr>
        <w:tabs>
          <w:tab w:val="num" w:pos="360"/>
        </w:tabs>
        <w:spacing w:after="200"/>
        <w:jc w:val="both"/>
        <w:rPr>
          <w:snapToGrid/>
          <w:sz w:val="24"/>
          <w:szCs w:val="24"/>
        </w:rPr>
      </w:pPr>
      <w:r>
        <w:rPr>
          <w:snapToGrid/>
          <w:sz w:val="24"/>
        </w:rPr>
        <w:t xml:space="preserve">Pozastavení </w:t>
      </w:r>
      <w:r>
        <w:rPr>
          <w:b/>
          <w:snapToGrid/>
          <w:sz w:val="24"/>
        </w:rPr>
        <w:t>nabývá účinku</w:t>
      </w:r>
      <w:r>
        <w:rPr>
          <w:snapToGrid/>
          <w:sz w:val="24"/>
        </w:rPr>
        <w:t xml:space="preserve"> dnem po odeslání oznámení. </w:t>
      </w:r>
    </w:p>
    <w:p w14:paraId="3223259A" w14:textId="57C31E56" w:rsidR="003B3D8F" w:rsidRPr="003B3D8F" w:rsidRDefault="003B3D8F" w:rsidP="003B3D8F">
      <w:pPr>
        <w:spacing w:after="200"/>
        <w:jc w:val="both"/>
        <w:rPr>
          <w:snapToGrid/>
          <w:sz w:val="24"/>
          <w:szCs w:val="24"/>
        </w:rPr>
      </w:pPr>
      <w:r>
        <w:rPr>
          <w:snapToGrid/>
          <w:sz w:val="24"/>
        </w:rPr>
        <w:t xml:space="preserve">Jakmile okolnosti umožní obnovení provádění, musí se strany neprodleně dohodnout na datu obnovení (první den po dni ukončení pozastavení). Pozastavení bude </w:t>
      </w:r>
      <w:r>
        <w:rPr>
          <w:b/>
          <w:snapToGrid/>
          <w:sz w:val="24"/>
        </w:rPr>
        <w:t>zrušeno</w:t>
      </w:r>
      <w:r>
        <w:rPr>
          <w:snapToGrid/>
          <w:sz w:val="24"/>
        </w:rPr>
        <w:t xml:space="preserve"> s účinkem ode dne ukončení pozastavení. </w:t>
      </w:r>
    </w:p>
    <w:p w14:paraId="09664430" w14:textId="16F1139D" w:rsidR="003B3D8F" w:rsidRDefault="003B3D8F" w:rsidP="003B3D8F">
      <w:pPr>
        <w:spacing w:after="200"/>
        <w:jc w:val="both"/>
        <w:rPr>
          <w:snapToGrid/>
          <w:sz w:val="24"/>
          <w:szCs w:val="24"/>
        </w:rPr>
      </w:pPr>
      <w:r>
        <w:rPr>
          <w:snapToGrid/>
          <w:sz w:val="24"/>
        </w:rPr>
        <w:t xml:space="preserve">Během pozastavení nebude účastníkovi vyplácena žádná finanční podpora. </w:t>
      </w:r>
    </w:p>
    <w:p w14:paraId="0EB7252C" w14:textId="726D67D3" w:rsidR="005D1F0B" w:rsidRDefault="005D1F0B" w:rsidP="005D1F0B">
      <w:pPr>
        <w:spacing w:after="200"/>
        <w:jc w:val="both"/>
        <w:rPr>
          <w:snapToGrid/>
          <w:sz w:val="24"/>
          <w:szCs w:val="24"/>
        </w:rPr>
      </w:pPr>
      <w:r>
        <w:rPr>
          <w:snapToGrid/>
          <w:sz w:val="24"/>
        </w:rPr>
        <w:t>Účastník nemůže požadovat náhradu škody v důsledku pozastavení ze strany organizace.</w:t>
      </w:r>
    </w:p>
    <w:p w14:paraId="1276F2BB" w14:textId="77777777" w:rsidR="00650818" w:rsidRDefault="00650818" w:rsidP="00650818">
      <w:pPr>
        <w:tabs>
          <w:tab w:val="num" w:pos="360"/>
        </w:tabs>
        <w:spacing w:after="200"/>
        <w:jc w:val="both"/>
        <w:rPr>
          <w:snapToGrid/>
          <w:sz w:val="24"/>
          <w:szCs w:val="24"/>
        </w:rPr>
      </w:pPr>
      <w:r>
        <w:rPr>
          <w:snapToGrid/>
          <w:sz w:val="24"/>
        </w:rPr>
        <w:t>Pokud se účastník domnívá, že je platba neoprávněně zadržena, může danou situaci předložit příslušné národní agentuře poté, co se pokusí získat od organizace vysvětlení a/nebo pokud spor nelze vyřešit smírnou cestou.</w:t>
      </w:r>
    </w:p>
    <w:p w14:paraId="5B6B863C" w14:textId="12999CC4" w:rsidR="00920362" w:rsidRDefault="00920362" w:rsidP="003B3D8F">
      <w:pPr>
        <w:spacing w:after="200"/>
        <w:jc w:val="both"/>
        <w:rPr>
          <w:snapToGrid/>
          <w:sz w:val="24"/>
          <w:szCs w:val="24"/>
        </w:rPr>
      </w:pPr>
      <w:r>
        <w:rPr>
          <w:snapToGrid/>
          <w:sz w:val="24"/>
        </w:rPr>
        <w:t>Pozastavení finanční podpory nemá vliv na právo organizace finanční podporu ukončit (viz článek</w:t>
      </w:r>
      <w:r w:rsidR="002326D3">
        <w:rPr>
          <w:snapToGrid/>
          <w:sz w:val="24"/>
        </w:rPr>
        <w:t> </w:t>
      </w:r>
      <w:r>
        <w:rPr>
          <w:snapToGrid/>
          <w:sz w:val="24"/>
        </w:rPr>
        <w:t>15).</w:t>
      </w:r>
    </w:p>
    <w:p w14:paraId="6D1989D1" w14:textId="135836E1" w:rsidR="003B3D8F" w:rsidRPr="00191793" w:rsidRDefault="005C54A9" w:rsidP="003B3D8F">
      <w:pPr>
        <w:keepNext/>
        <w:keepLines/>
        <w:spacing w:after="200"/>
        <w:ind w:left="1865" w:hanging="1865"/>
        <w:jc w:val="both"/>
        <w:outlineLvl w:val="3"/>
        <w:rPr>
          <w:rFonts w:eastAsia="SimSun"/>
          <w:b/>
          <w:bCs/>
          <w:iCs/>
          <w:caps/>
          <w:snapToGrid/>
          <w:sz w:val="24"/>
          <w:szCs w:val="22"/>
        </w:rPr>
      </w:pPr>
      <w:bookmarkStart w:id="199" w:name="_Toc88829451"/>
      <w:bookmarkStart w:id="200" w:name="_Toc90290991"/>
      <w:bookmarkStart w:id="201" w:name="_Toc120627749"/>
      <w:bookmarkEnd w:id="130"/>
      <w:bookmarkEnd w:id="131"/>
      <w:bookmarkEnd w:id="132"/>
      <w:bookmarkEnd w:id="133"/>
      <w:bookmarkEnd w:id="134"/>
      <w:bookmarkEnd w:id="135"/>
      <w:r>
        <w:rPr>
          <w:b/>
          <w:caps/>
          <w:snapToGrid/>
          <w:sz w:val="24"/>
        </w:rPr>
        <w:t>ČLÁNEK 15 – UKONČENÍ ZE STRANY ORGANIZACE NEBO ÚČASTNÍKA</w:t>
      </w:r>
      <w:bookmarkEnd w:id="199"/>
      <w:bookmarkEnd w:id="200"/>
      <w:bookmarkEnd w:id="201"/>
      <w:r>
        <w:rPr>
          <w:b/>
          <w:caps/>
          <w:snapToGrid/>
          <w:sz w:val="24"/>
        </w:rPr>
        <w:t xml:space="preserve"> </w:t>
      </w:r>
    </w:p>
    <w:p w14:paraId="101359B7" w14:textId="51EABB21" w:rsidR="00CF4A67" w:rsidRDefault="00B06CFE" w:rsidP="00CF4A67">
      <w:pPr>
        <w:spacing w:after="200"/>
        <w:jc w:val="both"/>
        <w:rPr>
          <w:snapToGrid/>
          <w:sz w:val="24"/>
          <w:szCs w:val="24"/>
        </w:rPr>
      </w:pPr>
      <w:bookmarkStart w:id="202" w:name="_Toc435109082"/>
      <w:bookmarkStart w:id="203" w:name="_Toc529197789"/>
      <w:bookmarkStart w:id="204" w:name="_Toc24116184"/>
      <w:bookmarkStart w:id="205" w:name="_Toc24126663"/>
      <w:bookmarkStart w:id="206" w:name="_Toc88829452"/>
      <w:bookmarkStart w:id="207" w:name="_Toc90290992"/>
      <w:bookmarkStart w:id="208" w:name="_Toc120627750"/>
      <w:r>
        <w:rPr>
          <w:snapToGrid/>
          <w:sz w:val="24"/>
        </w:rPr>
        <w:t xml:space="preserve">Dohoda může být z podnětu účastníka nebo organizace ukončena, pokud výjimečné okolnosti, zejména vyšší moc (viz článek 17), znemožňují nebo nadměrně ztěžují její provádění. </w:t>
      </w:r>
    </w:p>
    <w:p w14:paraId="267632A0" w14:textId="621BCE3F" w:rsidR="00CF4A67" w:rsidRPr="0076794B" w:rsidRDefault="00CF4A67" w:rsidP="00CF4A67">
      <w:pPr>
        <w:spacing w:after="200"/>
        <w:jc w:val="both"/>
        <w:rPr>
          <w:sz w:val="24"/>
          <w:szCs w:val="24"/>
        </w:rPr>
      </w:pPr>
      <w:r>
        <w:rPr>
          <w:sz w:val="24"/>
        </w:rPr>
        <w:t xml:space="preserve">V případě ukončení z důvodu vyšší moci bude mít účastník nárok alespoň na částku finanční podpory odpovídající </w:t>
      </w:r>
      <w:r>
        <w:rPr>
          <w:b/>
          <w:sz w:val="24"/>
        </w:rPr>
        <w:t>skutečnému trvání</w:t>
      </w:r>
      <w:r>
        <w:rPr>
          <w:sz w:val="24"/>
        </w:rPr>
        <w:t xml:space="preserve"> období činnosti. Veškeré zbývající prostředky musí být vráceny.</w:t>
      </w:r>
    </w:p>
    <w:p w14:paraId="3AA5175A" w14:textId="0B59D667" w:rsidR="00B06CFE" w:rsidRDefault="00B06CFE" w:rsidP="00CF4A67">
      <w:pPr>
        <w:spacing w:after="200"/>
        <w:jc w:val="both"/>
        <w:rPr>
          <w:sz w:val="24"/>
          <w:szCs w:val="24"/>
        </w:rPr>
      </w:pPr>
      <w:r>
        <w:rPr>
          <w:sz w:val="24"/>
        </w:rPr>
        <w:t>V případě závažného porušení povinností uvedených v této dohodě jsou strany oprávněny dohodu ukončit prostřednictvím formálního oznámení druhé straně.</w:t>
      </w:r>
    </w:p>
    <w:p w14:paraId="0A77F3FC" w14:textId="5068210A" w:rsidR="00CF4A67" w:rsidRPr="00CF4A67" w:rsidRDefault="00CF4A67" w:rsidP="00CF4A67">
      <w:pPr>
        <w:spacing w:after="200"/>
        <w:jc w:val="both"/>
        <w:rPr>
          <w:snapToGrid/>
          <w:sz w:val="24"/>
          <w:szCs w:val="24"/>
        </w:rPr>
      </w:pPr>
      <w:r>
        <w:rPr>
          <w:snapToGrid/>
          <w:sz w:val="24"/>
        </w:rPr>
        <w:t>Organizace může dohodu ukončit, pokud se účastník dopustil závažných pochybení, nesrovnalostí, podvodu, korupce nebo je zapojen do zločinného spolčení, praní peněz, trestných činů souvisejících s terorismem (včetně financování terorismu), dětské práce nebo obchodování s lidmi.</w:t>
      </w:r>
    </w:p>
    <w:p w14:paraId="1AC1F038" w14:textId="1AB318C0" w:rsidR="0042127E" w:rsidRDefault="001966AA" w:rsidP="00CF4A67">
      <w:pPr>
        <w:spacing w:after="200"/>
        <w:jc w:val="both"/>
        <w:rPr>
          <w:sz w:val="24"/>
          <w:szCs w:val="24"/>
        </w:rPr>
      </w:pPr>
      <w:r>
        <w:rPr>
          <w:sz w:val="24"/>
        </w:rPr>
        <w:t xml:space="preserve">Pokud účastník ukončí dohodu před ukončením činnosti, bude muset vrátit částku finanční podpory, která mu byla vyplacena předem, odpovídající neaktivním dnům. </w:t>
      </w:r>
    </w:p>
    <w:p w14:paraId="1C6F514A" w14:textId="0DEA42AA" w:rsidR="001966AA" w:rsidRDefault="00730E03" w:rsidP="00CF4A67">
      <w:pPr>
        <w:spacing w:after="200"/>
        <w:jc w:val="both"/>
        <w:rPr>
          <w:sz w:val="24"/>
          <w:szCs w:val="24"/>
        </w:rPr>
      </w:pPr>
      <w:r>
        <w:rPr>
          <w:sz w:val="24"/>
        </w:rPr>
        <w:t>Organizace si vyhrazuje právo zahájit soudní řízení, není-li požadovaná náhrada dobrovolně poskytnuta ve lhůtě oznámené účastníkovi doporučeným dopisem.</w:t>
      </w:r>
    </w:p>
    <w:bookmarkEnd w:id="202"/>
    <w:bookmarkEnd w:id="203"/>
    <w:bookmarkEnd w:id="204"/>
    <w:bookmarkEnd w:id="205"/>
    <w:bookmarkEnd w:id="206"/>
    <w:bookmarkEnd w:id="207"/>
    <w:bookmarkEnd w:id="208"/>
    <w:p w14:paraId="61B43ED7" w14:textId="6FC242E9" w:rsidR="003B3D8F" w:rsidRPr="003B3D8F" w:rsidRDefault="003B3D8F" w:rsidP="003B3D8F">
      <w:pPr>
        <w:spacing w:after="200"/>
        <w:jc w:val="both"/>
        <w:rPr>
          <w:snapToGrid/>
          <w:sz w:val="24"/>
          <w:szCs w:val="24"/>
        </w:rPr>
      </w:pPr>
      <w:r>
        <w:rPr>
          <w:snapToGrid/>
          <w:sz w:val="24"/>
        </w:rPr>
        <w:t xml:space="preserve">Ukončení </w:t>
      </w:r>
      <w:r>
        <w:rPr>
          <w:b/>
          <w:snapToGrid/>
          <w:sz w:val="24"/>
        </w:rPr>
        <w:t>nabývá účinku</w:t>
      </w:r>
      <w:r>
        <w:rPr>
          <w:snapToGrid/>
          <w:sz w:val="24"/>
        </w:rPr>
        <w:t xml:space="preserve"> dnem po odeslání potvrzujícího oznámení (nebo k pozdějšímu datu uvedenému v oznámení; dále jen „datum ukončení“).</w:t>
      </w:r>
    </w:p>
    <w:p w14:paraId="4820F6EC" w14:textId="5B4D1264" w:rsidR="003B3D8F" w:rsidRPr="003B3D8F" w:rsidRDefault="003B3D8F" w:rsidP="006D51C7">
      <w:pPr>
        <w:spacing w:after="200"/>
        <w:jc w:val="both"/>
        <w:rPr>
          <w:snapToGrid/>
          <w:sz w:val="24"/>
          <w:szCs w:val="24"/>
        </w:rPr>
      </w:pPr>
      <w:r>
        <w:rPr>
          <w:snapToGrid/>
          <w:sz w:val="24"/>
        </w:rPr>
        <w:t>Účastník nemůže požadovat náhradu škody v důsledku ukončení ze strany organizace.</w:t>
      </w:r>
    </w:p>
    <w:p w14:paraId="472E23E0" w14:textId="450D2675" w:rsidR="003C6A16" w:rsidRPr="003C6A16" w:rsidRDefault="003C6A16" w:rsidP="006D51C7">
      <w:pPr>
        <w:spacing w:after="200"/>
        <w:jc w:val="both"/>
        <w:rPr>
          <w:snapToGrid/>
          <w:sz w:val="24"/>
          <w:szCs w:val="24"/>
        </w:rPr>
      </w:pPr>
      <w:r>
        <w:rPr>
          <w:snapToGrid/>
          <w:sz w:val="24"/>
        </w:rPr>
        <w:lastRenderedPageBreak/>
        <w:t xml:space="preserve">Po ukončení dohody nadále platí povinnosti účastníka (zejména podle článku 11 (předkládání zpráv) a 13 (kontroly, přezkumy, audity a vyšetřování)). </w:t>
      </w:r>
    </w:p>
    <w:p w14:paraId="313B1301" w14:textId="0A89BF08" w:rsidR="003B3D8F" w:rsidRPr="003B3D8F" w:rsidRDefault="003B3D8F" w:rsidP="003B3D8F">
      <w:pPr>
        <w:keepNext/>
        <w:keepLines/>
        <w:spacing w:after="200"/>
        <w:ind w:left="1865" w:hanging="1865"/>
        <w:jc w:val="both"/>
        <w:outlineLvl w:val="3"/>
        <w:rPr>
          <w:b/>
          <w:bCs/>
          <w:iCs/>
          <w:caps/>
          <w:snapToGrid/>
          <w:sz w:val="24"/>
          <w:szCs w:val="22"/>
        </w:rPr>
      </w:pPr>
      <w:bookmarkStart w:id="209" w:name="_Toc524697252"/>
      <w:bookmarkStart w:id="210" w:name="_Toc529197793"/>
      <w:bookmarkStart w:id="211" w:name="_Toc530035934"/>
      <w:bookmarkStart w:id="212" w:name="_Toc24116188"/>
      <w:bookmarkStart w:id="213" w:name="_Toc24126667"/>
      <w:bookmarkStart w:id="214" w:name="_Toc88829456"/>
      <w:bookmarkStart w:id="215" w:name="_Toc90290996"/>
      <w:bookmarkStart w:id="216" w:name="_Toc120627754"/>
      <w:r>
        <w:rPr>
          <w:b/>
          <w:caps/>
          <w:snapToGrid/>
          <w:sz w:val="24"/>
        </w:rPr>
        <w:t>ČLÁNEK 16 – NÁHRADA ŠKODY</w:t>
      </w:r>
      <w:bookmarkEnd w:id="209"/>
      <w:bookmarkEnd w:id="210"/>
      <w:bookmarkEnd w:id="211"/>
      <w:bookmarkEnd w:id="212"/>
      <w:bookmarkEnd w:id="213"/>
      <w:bookmarkEnd w:id="214"/>
      <w:bookmarkEnd w:id="215"/>
      <w:bookmarkEnd w:id="216"/>
      <w:r>
        <w:rPr>
          <w:b/>
          <w:caps/>
          <w:snapToGrid/>
          <w:sz w:val="24"/>
        </w:rPr>
        <w:t xml:space="preserve"> </w:t>
      </w:r>
    </w:p>
    <w:p w14:paraId="60BE2EF3" w14:textId="524FE72B" w:rsidR="00431964" w:rsidRPr="0076794B" w:rsidRDefault="00431964" w:rsidP="00431964">
      <w:pPr>
        <w:jc w:val="both"/>
        <w:rPr>
          <w:sz w:val="24"/>
          <w:szCs w:val="24"/>
        </w:rPr>
      </w:pPr>
      <w:bookmarkStart w:id="217" w:name="_Toc529197794"/>
      <w:bookmarkStart w:id="218" w:name="_Toc24116189"/>
      <w:bookmarkStart w:id="219" w:name="_Toc24126668"/>
      <w:bookmarkStart w:id="220" w:name="_Toc88829457"/>
      <w:bookmarkStart w:id="221" w:name="_Toc90290997"/>
      <w:bookmarkStart w:id="222" w:name="_Toc120627755"/>
      <w:r>
        <w:rPr>
          <w:sz w:val="24"/>
        </w:rPr>
        <w:t>Každá strana této dohody zprošťuje druhou stranu občanskoprávní odpovědnosti za škody, které strana nebo její zaměstnanci utrpěli v důsledku plnění této dohody, za předpokladu, že takové škody nejsou způsobeny vážným a úmyslným pochybením druhé strany nebo jejích zaměstnanců.</w:t>
      </w:r>
    </w:p>
    <w:p w14:paraId="7B1BFD56" w14:textId="77777777" w:rsidR="00431964" w:rsidRPr="002326D3" w:rsidRDefault="00431964" w:rsidP="00431964">
      <w:pPr>
        <w:jc w:val="both"/>
        <w:rPr>
          <w:sz w:val="24"/>
          <w:szCs w:val="24"/>
        </w:rPr>
      </w:pPr>
    </w:p>
    <w:p w14:paraId="7BD2BD02" w14:textId="2D1B8477" w:rsidR="00431964" w:rsidRPr="0076794B" w:rsidRDefault="00431964" w:rsidP="00794CE9">
      <w:pPr>
        <w:spacing w:after="200"/>
        <w:jc w:val="both"/>
        <w:rPr>
          <w:sz w:val="24"/>
          <w:szCs w:val="24"/>
        </w:rPr>
      </w:pPr>
      <w:r>
        <w:rPr>
          <w:sz w:val="24"/>
        </w:rPr>
        <w:t xml:space="preserve">Národní agentura </w:t>
      </w:r>
      <w:r>
        <w:rPr>
          <w:snapToGrid/>
          <w:sz w:val="24"/>
        </w:rPr>
        <w:t>[</w:t>
      </w:r>
      <w:r>
        <w:rPr>
          <w:snapToGrid/>
          <w:sz w:val="24"/>
          <w:highlight w:val="lightGray"/>
        </w:rPr>
        <w:t>země organizace</w:t>
      </w:r>
      <w:r>
        <w:rPr>
          <w:snapToGrid/>
          <w:sz w:val="24"/>
        </w:rPr>
        <w:t>]</w:t>
      </w:r>
      <w:r>
        <w:rPr>
          <w:sz w:val="24"/>
        </w:rPr>
        <w:t>, Evropská komise nebo jejich zaměstnanci nenesou odpovědnost v případě uplatnění nároku podle dohody v souvislosti se škodou způsobenou při výkonu činnosti. Národní agentura [</w:t>
      </w:r>
      <w:r>
        <w:rPr>
          <w:snapToGrid/>
          <w:sz w:val="24"/>
          <w:highlight w:val="lightGray"/>
        </w:rPr>
        <w:t>země organizace</w:t>
      </w:r>
      <w:r>
        <w:rPr>
          <w:sz w:val="24"/>
        </w:rPr>
        <w:t xml:space="preserve">] ani Evropská komise proto nevyhoví žádné žádosti o náhradu škody, která je s tímto nárokem spojena. </w:t>
      </w:r>
    </w:p>
    <w:p w14:paraId="5D51C107" w14:textId="034E96BB" w:rsidR="003B3D8F" w:rsidRPr="00066043" w:rsidRDefault="003B3D8F" w:rsidP="00066043">
      <w:pPr>
        <w:keepNext/>
        <w:keepLines/>
        <w:spacing w:after="200"/>
        <w:jc w:val="both"/>
        <w:outlineLvl w:val="3"/>
        <w:rPr>
          <w:rFonts w:eastAsia="SimSun"/>
          <w:b/>
          <w:bCs/>
          <w:iCs/>
          <w:caps/>
          <w:snapToGrid/>
          <w:sz w:val="24"/>
          <w:szCs w:val="22"/>
        </w:rPr>
      </w:pPr>
      <w:bookmarkStart w:id="223" w:name="_Toc97092422"/>
      <w:bookmarkStart w:id="224" w:name="_Toc435109086"/>
      <w:bookmarkStart w:id="225" w:name="_Toc524697255"/>
      <w:bookmarkStart w:id="226" w:name="_Toc529197798"/>
      <w:bookmarkStart w:id="227" w:name="_Toc530035937"/>
      <w:bookmarkStart w:id="228" w:name="_Toc24116193"/>
      <w:bookmarkStart w:id="229" w:name="_Toc24126672"/>
      <w:bookmarkStart w:id="230" w:name="_Toc88829461"/>
      <w:bookmarkStart w:id="231" w:name="_Toc90291001"/>
      <w:bookmarkStart w:id="232" w:name="_Toc120627759"/>
      <w:bookmarkEnd w:id="217"/>
      <w:bookmarkEnd w:id="218"/>
      <w:bookmarkEnd w:id="219"/>
      <w:bookmarkEnd w:id="220"/>
      <w:bookmarkEnd w:id="221"/>
      <w:bookmarkEnd w:id="222"/>
      <w:r>
        <w:rPr>
          <w:b/>
          <w:caps/>
          <w:snapToGrid/>
          <w:sz w:val="24"/>
        </w:rPr>
        <w:t>ČLÁNEK 17 – VYŠŠÍ MOC</w:t>
      </w:r>
      <w:bookmarkEnd w:id="223"/>
      <w:bookmarkEnd w:id="224"/>
      <w:bookmarkEnd w:id="225"/>
      <w:bookmarkEnd w:id="226"/>
      <w:bookmarkEnd w:id="227"/>
      <w:bookmarkEnd w:id="228"/>
      <w:bookmarkEnd w:id="229"/>
      <w:bookmarkEnd w:id="230"/>
      <w:bookmarkEnd w:id="231"/>
      <w:bookmarkEnd w:id="232"/>
      <w:r>
        <w:rPr>
          <w:b/>
          <w:caps/>
          <w:snapToGrid/>
          <w:sz w:val="24"/>
        </w:rPr>
        <w:t xml:space="preserve"> </w:t>
      </w:r>
    </w:p>
    <w:p w14:paraId="24670D0D" w14:textId="70AB0948" w:rsidR="003B3D8F" w:rsidRPr="003B3D8F" w:rsidRDefault="003B3D8F" w:rsidP="003B3D8F">
      <w:pPr>
        <w:spacing w:after="200"/>
        <w:jc w:val="both"/>
        <w:rPr>
          <w:snapToGrid/>
          <w:sz w:val="24"/>
          <w:szCs w:val="24"/>
        </w:rPr>
      </w:pPr>
      <w:r>
        <w:rPr>
          <w:snapToGrid/>
          <w:sz w:val="24"/>
        </w:rPr>
        <w:t xml:space="preserve">Nelze mít za to, že strana, které vyšší moc brání ve splnění jejích povinností vyplývajících z této dohody, tyto povinnosti porušuje. </w:t>
      </w:r>
    </w:p>
    <w:p w14:paraId="206C6798" w14:textId="69A7DC69" w:rsidR="003B3D8F" w:rsidRPr="003B3D8F" w:rsidRDefault="003B3D8F" w:rsidP="003B3D8F">
      <w:pPr>
        <w:spacing w:after="200"/>
        <w:ind w:left="851" w:hanging="851"/>
        <w:jc w:val="both"/>
        <w:rPr>
          <w:snapToGrid/>
          <w:sz w:val="24"/>
          <w:szCs w:val="24"/>
        </w:rPr>
      </w:pPr>
      <w:r>
        <w:rPr>
          <w:snapToGrid/>
          <w:sz w:val="24"/>
        </w:rPr>
        <w:t>„Vyšší mocí“ se rozumí jakákoli situace nebo událost, která:</w:t>
      </w:r>
    </w:p>
    <w:p w14:paraId="79CEEAB6" w14:textId="3CF543A9" w:rsidR="003B3D8F" w:rsidRPr="003B3D8F" w:rsidRDefault="003B3D8F" w:rsidP="004B0794">
      <w:pPr>
        <w:numPr>
          <w:ilvl w:val="0"/>
          <w:numId w:val="4"/>
        </w:numPr>
        <w:spacing w:after="200"/>
        <w:jc w:val="both"/>
        <w:rPr>
          <w:snapToGrid/>
          <w:sz w:val="24"/>
          <w:szCs w:val="24"/>
        </w:rPr>
      </w:pPr>
      <w:r>
        <w:rPr>
          <w:snapToGrid/>
          <w:sz w:val="24"/>
        </w:rPr>
        <w:t xml:space="preserve">brání některé ze stran ve splnění jejích povinností vyplývajících z této dohody, </w:t>
      </w:r>
    </w:p>
    <w:p w14:paraId="120F46AD" w14:textId="107C6E85" w:rsidR="003B3D8F" w:rsidRPr="003B3D8F" w:rsidRDefault="003B3D8F" w:rsidP="004B0794">
      <w:pPr>
        <w:numPr>
          <w:ilvl w:val="0"/>
          <w:numId w:val="4"/>
        </w:numPr>
        <w:spacing w:after="200"/>
        <w:jc w:val="both"/>
        <w:rPr>
          <w:snapToGrid/>
          <w:sz w:val="24"/>
          <w:szCs w:val="24"/>
        </w:rPr>
      </w:pPr>
      <w:r>
        <w:rPr>
          <w:snapToGrid/>
          <w:sz w:val="24"/>
        </w:rPr>
        <w:t>byla nepředvídatelná a výjimečná a mimo kontrolu stran,</w:t>
      </w:r>
    </w:p>
    <w:p w14:paraId="6F170661" w14:textId="3A674B21" w:rsidR="003B3D8F" w:rsidRPr="003B3D8F" w:rsidRDefault="003B3D8F" w:rsidP="004B0794">
      <w:pPr>
        <w:numPr>
          <w:ilvl w:val="0"/>
          <w:numId w:val="4"/>
        </w:numPr>
        <w:spacing w:after="200"/>
        <w:jc w:val="both"/>
        <w:rPr>
          <w:snapToGrid/>
          <w:sz w:val="24"/>
          <w:szCs w:val="24"/>
        </w:rPr>
      </w:pPr>
      <w:r>
        <w:rPr>
          <w:snapToGrid/>
          <w:sz w:val="24"/>
        </w:rPr>
        <w:t>nebyla způsobena chybou nebo nedbalostí stran (nebo dalších zúčastněných subjektů zapojených do akce) a</w:t>
      </w:r>
    </w:p>
    <w:p w14:paraId="615CA588" w14:textId="2466F969" w:rsidR="003B3D8F" w:rsidRPr="003B3D8F" w:rsidRDefault="003B3D8F" w:rsidP="004B0794">
      <w:pPr>
        <w:numPr>
          <w:ilvl w:val="0"/>
          <w:numId w:val="4"/>
        </w:numPr>
        <w:spacing w:after="200"/>
        <w:jc w:val="both"/>
        <w:rPr>
          <w:snapToGrid/>
          <w:sz w:val="24"/>
          <w:szCs w:val="24"/>
        </w:rPr>
      </w:pPr>
      <w:r>
        <w:rPr>
          <w:snapToGrid/>
          <w:sz w:val="24"/>
        </w:rPr>
        <w:t xml:space="preserve">ukáže se jako nevyhnutelná navzdory vynaložení veškeré náležité péče. </w:t>
      </w:r>
    </w:p>
    <w:p w14:paraId="3A473AA2" w14:textId="0B74F50E" w:rsidR="003B3D8F" w:rsidRPr="003B3D8F" w:rsidRDefault="003B3D8F" w:rsidP="003B3D8F">
      <w:pPr>
        <w:spacing w:after="200"/>
        <w:jc w:val="both"/>
        <w:rPr>
          <w:snapToGrid/>
          <w:sz w:val="24"/>
          <w:szCs w:val="24"/>
        </w:rPr>
      </w:pPr>
      <w:r>
        <w:rPr>
          <w:snapToGrid/>
          <w:sz w:val="24"/>
        </w:rPr>
        <w:t>Jakýkoli případ vyšší moci je potřeba neprodleně oficiálně oznámit druhé straně</w:t>
      </w:r>
      <w:r>
        <w:rPr>
          <w:i/>
          <w:snapToGrid/>
          <w:sz w:val="24"/>
        </w:rPr>
        <w:t xml:space="preserve"> </w:t>
      </w:r>
      <w:r>
        <w:rPr>
          <w:snapToGrid/>
          <w:sz w:val="24"/>
        </w:rPr>
        <w:t>a uvést jeho povahu, pravděpodobnou dobu trvání a předpokládané důsledky.</w:t>
      </w:r>
    </w:p>
    <w:p w14:paraId="59A125BA" w14:textId="05F6FB53" w:rsidR="003B3D8F" w:rsidRPr="003B3D8F" w:rsidRDefault="003B3D8F" w:rsidP="003B3D8F">
      <w:pPr>
        <w:spacing w:after="200"/>
        <w:jc w:val="both"/>
        <w:rPr>
          <w:snapToGrid/>
          <w:sz w:val="24"/>
          <w:szCs w:val="24"/>
        </w:rPr>
      </w:pPr>
      <w:r>
        <w:rPr>
          <w:snapToGrid/>
          <w:sz w:val="24"/>
        </w:rPr>
        <w:t>Strany musí okamžitě učinit všechny nezbytné kroky k omezení škod způsobených vyšší mocí a vynaložit veškeré úsilí, aby bylo možné realizaci akce co nejdříve obnovit.</w:t>
      </w:r>
    </w:p>
    <w:p w14:paraId="16313859" w14:textId="2A1FC307" w:rsidR="003B3D8F" w:rsidRPr="003B3D8F" w:rsidRDefault="003B3D8F" w:rsidP="00066043">
      <w:pPr>
        <w:keepNext/>
        <w:keepLines/>
        <w:spacing w:before="200" w:after="200"/>
        <w:jc w:val="both"/>
        <w:outlineLvl w:val="0"/>
        <w:rPr>
          <w:rFonts w:eastAsia="SimSun"/>
          <w:b/>
          <w:bCs/>
          <w:caps/>
          <w:snapToGrid/>
          <w:sz w:val="24"/>
          <w:szCs w:val="28"/>
          <w:u w:val="single"/>
        </w:rPr>
      </w:pPr>
      <w:bookmarkStart w:id="233" w:name="_Toc435109087"/>
      <w:bookmarkStart w:id="234" w:name="_Toc524697256"/>
      <w:bookmarkStart w:id="235" w:name="_Toc529197799"/>
      <w:bookmarkStart w:id="236" w:name="_Toc530035938"/>
      <w:bookmarkStart w:id="237" w:name="_Toc24116194"/>
      <w:bookmarkStart w:id="238" w:name="_Toc24118688"/>
      <w:bookmarkStart w:id="239" w:name="_Toc24126673"/>
      <w:bookmarkStart w:id="240" w:name="_Toc88829462"/>
      <w:bookmarkStart w:id="241" w:name="_Toc90291002"/>
      <w:bookmarkStart w:id="242" w:name="_Toc120627760"/>
      <w:r>
        <w:rPr>
          <w:b/>
          <w:caps/>
          <w:snapToGrid/>
          <w:sz w:val="24"/>
          <w:u w:val="single"/>
        </w:rPr>
        <w:t>KAPITOLA 6</w:t>
      </w:r>
      <w:r>
        <w:rPr>
          <w:b/>
          <w:caps/>
          <w:snapToGrid/>
          <w:sz w:val="24"/>
          <w:u w:val="single"/>
        </w:rPr>
        <w:tab/>
        <w:t>ZÁVĚREČNÁ USTANOVENÍ</w:t>
      </w:r>
      <w:bookmarkEnd w:id="233"/>
      <w:bookmarkEnd w:id="234"/>
      <w:bookmarkEnd w:id="235"/>
      <w:bookmarkEnd w:id="236"/>
      <w:bookmarkEnd w:id="237"/>
      <w:bookmarkEnd w:id="238"/>
      <w:bookmarkEnd w:id="239"/>
      <w:bookmarkEnd w:id="240"/>
      <w:bookmarkEnd w:id="241"/>
      <w:bookmarkEnd w:id="242"/>
    </w:p>
    <w:p w14:paraId="794B77C2" w14:textId="31083680" w:rsidR="003B3D8F" w:rsidRPr="003B3D8F" w:rsidRDefault="003B3D8F" w:rsidP="003B3D8F">
      <w:pPr>
        <w:keepNext/>
        <w:keepLines/>
        <w:spacing w:after="200"/>
        <w:ind w:left="1865" w:hanging="1865"/>
        <w:jc w:val="both"/>
        <w:outlineLvl w:val="3"/>
        <w:rPr>
          <w:b/>
          <w:bCs/>
          <w:iCs/>
          <w:caps/>
          <w:snapToGrid/>
          <w:sz w:val="24"/>
          <w:szCs w:val="22"/>
        </w:rPr>
      </w:pPr>
      <w:bookmarkStart w:id="243" w:name="_Toc435109088"/>
      <w:bookmarkStart w:id="244" w:name="_Toc524697257"/>
      <w:bookmarkStart w:id="245" w:name="_Toc529197800"/>
      <w:bookmarkStart w:id="246" w:name="_Toc530035939"/>
      <w:bookmarkStart w:id="247" w:name="_Toc24116195"/>
      <w:bookmarkStart w:id="248" w:name="_Toc24118689"/>
      <w:bookmarkStart w:id="249" w:name="_Toc24126674"/>
      <w:bookmarkStart w:id="250" w:name="_Toc88829463"/>
      <w:bookmarkStart w:id="251" w:name="_Toc90291003"/>
      <w:bookmarkStart w:id="252" w:name="_Toc120627761"/>
      <w:r>
        <w:rPr>
          <w:b/>
          <w:caps/>
          <w:snapToGrid/>
          <w:sz w:val="24"/>
        </w:rPr>
        <w:t>ČLÁNEK 18 – KOMUNIKACE MEZI STRANAMI</w:t>
      </w:r>
      <w:bookmarkEnd w:id="243"/>
      <w:bookmarkEnd w:id="244"/>
      <w:bookmarkEnd w:id="245"/>
      <w:bookmarkEnd w:id="246"/>
      <w:bookmarkEnd w:id="247"/>
      <w:bookmarkEnd w:id="248"/>
      <w:bookmarkEnd w:id="249"/>
      <w:bookmarkEnd w:id="250"/>
      <w:bookmarkEnd w:id="251"/>
      <w:bookmarkEnd w:id="252"/>
    </w:p>
    <w:p w14:paraId="5F3E4DFA" w14:textId="67566DB2" w:rsidR="003B3D8F" w:rsidRPr="00066043" w:rsidRDefault="00C17558" w:rsidP="00066043">
      <w:pPr>
        <w:keepNext/>
        <w:keepLines/>
        <w:spacing w:after="200"/>
        <w:jc w:val="both"/>
        <w:outlineLvl w:val="4"/>
        <w:rPr>
          <w:rFonts w:eastAsia="SimSun"/>
          <w:b/>
          <w:snapToGrid/>
          <w:sz w:val="24"/>
        </w:rPr>
      </w:pPr>
      <w:bookmarkStart w:id="253" w:name="_Toc435109089"/>
      <w:bookmarkStart w:id="254" w:name="_Toc529197801"/>
      <w:bookmarkStart w:id="255" w:name="_Toc24116196"/>
      <w:bookmarkStart w:id="256" w:name="_Toc24118690"/>
      <w:bookmarkStart w:id="257" w:name="_Toc24126675"/>
      <w:bookmarkStart w:id="258" w:name="_Toc88829464"/>
      <w:bookmarkStart w:id="259" w:name="_Toc90291004"/>
      <w:bookmarkStart w:id="260" w:name="_Toc120627762"/>
      <w:r>
        <w:rPr>
          <w:b/>
          <w:snapToGrid/>
          <w:sz w:val="24"/>
        </w:rPr>
        <w:t>18.1 Formy a prostředky komunikace</w:t>
      </w:r>
      <w:bookmarkEnd w:id="253"/>
      <w:bookmarkEnd w:id="254"/>
      <w:bookmarkEnd w:id="255"/>
      <w:bookmarkEnd w:id="256"/>
      <w:bookmarkEnd w:id="257"/>
      <w:r>
        <w:rPr>
          <w:b/>
          <w:snapToGrid/>
          <w:sz w:val="24"/>
        </w:rPr>
        <w:t xml:space="preserve"> </w:t>
      </w:r>
      <w:bookmarkEnd w:id="258"/>
      <w:bookmarkEnd w:id="259"/>
      <w:bookmarkEnd w:id="260"/>
    </w:p>
    <w:p w14:paraId="310787ED" w14:textId="2E111C3E" w:rsidR="003B3D8F" w:rsidRPr="00066043" w:rsidRDefault="003B3D8F" w:rsidP="00066043">
      <w:pPr>
        <w:adjustRightInd w:val="0"/>
        <w:spacing w:after="200"/>
        <w:jc w:val="both"/>
        <w:rPr>
          <w:rFonts w:eastAsia="Calibri"/>
          <w:snapToGrid/>
          <w:sz w:val="24"/>
          <w:szCs w:val="24"/>
        </w:rPr>
      </w:pPr>
      <w:bookmarkStart w:id="261" w:name="_Toc435109090"/>
      <w:bookmarkStart w:id="262" w:name="_Toc529197802"/>
      <w:bookmarkStart w:id="263" w:name="_Toc24116197"/>
      <w:bookmarkStart w:id="264" w:name="_Toc24118691"/>
      <w:bookmarkStart w:id="265" w:name="_Toc24126676"/>
      <w:bookmarkStart w:id="266" w:name="_Toc88829465"/>
      <w:bookmarkStart w:id="267" w:name="_Toc90291005"/>
      <w:r>
        <w:rPr>
          <w:snapToGrid/>
          <w:sz w:val="24"/>
        </w:rPr>
        <w:t xml:space="preserve">Sdělení podle dohody (informace, žádosti atd.) musí být provedeno písemně, není-li v dohodě uvedeno jinak. </w:t>
      </w:r>
    </w:p>
    <w:p w14:paraId="56BDE23E" w14:textId="40B8FBED" w:rsidR="003B3D8F" w:rsidRPr="003B3D8F" w:rsidRDefault="003B3D8F" w:rsidP="003B3D8F">
      <w:pPr>
        <w:adjustRightInd w:val="0"/>
        <w:spacing w:after="200"/>
        <w:jc w:val="both"/>
        <w:rPr>
          <w:rFonts w:eastAsia="Calibri"/>
          <w:snapToGrid/>
          <w:sz w:val="24"/>
          <w:szCs w:val="24"/>
        </w:rPr>
      </w:pPr>
      <w:r>
        <w:rPr>
          <w:snapToGrid/>
          <w:sz w:val="24"/>
        </w:rPr>
        <w:t xml:space="preserve">Oficiální oznámení se zasílají doporučeně s dodejkou (dále jen „oficiální oznámení v tištěné podobě“). </w:t>
      </w:r>
    </w:p>
    <w:p w14:paraId="4D9D4122" w14:textId="542E03B2" w:rsidR="003B3D8F" w:rsidRPr="003B3D8F" w:rsidRDefault="003B3D8F" w:rsidP="003B3D8F">
      <w:pPr>
        <w:adjustRightInd w:val="0"/>
        <w:spacing w:after="200"/>
        <w:jc w:val="both"/>
        <w:rPr>
          <w:rFonts w:eastAsia="Calibri"/>
          <w:snapToGrid/>
          <w:sz w:val="24"/>
          <w:szCs w:val="22"/>
        </w:rPr>
      </w:pPr>
      <w:r>
        <w:rPr>
          <w:snapToGrid/>
          <w:sz w:val="24"/>
        </w:rPr>
        <w:t xml:space="preserve">Oficiální oznámení však mohou být zasílána elektronicky, a to zejména s potvrzením o doručení, pokud to platné vnitrostátní právní předpisy dotčeného členského státu umožňují. </w:t>
      </w:r>
    </w:p>
    <w:p w14:paraId="24D8A2AD" w14:textId="7CEB7634" w:rsidR="003B3D8F" w:rsidRPr="003B3D8F" w:rsidRDefault="00C17558" w:rsidP="003B3D8F">
      <w:pPr>
        <w:keepNext/>
        <w:keepLines/>
        <w:spacing w:after="200"/>
        <w:ind w:left="720" w:hanging="720"/>
        <w:jc w:val="both"/>
        <w:outlineLvl w:val="4"/>
        <w:rPr>
          <w:rFonts w:eastAsia="SimSun"/>
          <w:b/>
          <w:snapToGrid/>
          <w:sz w:val="24"/>
          <w:szCs w:val="22"/>
        </w:rPr>
      </w:pPr>
      <w:bookmarkStart w:id="268" w:name="_Toc120627763"/>
      <w:r>
        <w:rPr>
          <w:b/>
          <w:snapToGrid/>
          <w:sz w:val="24"/>
        </w:rPr>
        <w:t>18.2</w:t>
      </w:r>
      <w:r>
        <w:rPr>
          <w:b/>
          <w:snapToGrid/>
          <w:sz w:val="24"/>
        </w:rPr>
        <w:tab/>
        <w:t>Datum sdělení</w:t>
      </w:r>
      <w:bookmarkEnd w:id="261"/>
      <w:bookmarkEnd w:id="262"/>
      <w:bookmarkEnd w:id="263"/>
      <w:bookmarkEnd w:id="264"/>
      <w:bookmarkEnd w:id="265"/>
      <w:bookmarkEnd w:id="266"/>
      <w:bookmarkEnd w:id="267"/>
      <w:bookmarkEnd w:id="268"/>
      <w:r>
        <w:rPr>
          <w:b/>
          <w:snapToGrid/>
          <w:sz w:val="24"/>
        </w:rPr>
        <w:t xml:space="preserve"> </w:t>
      </w:r>
    </w:p>
    <w:p w14:paraId="25E57ADA" w14:textId="35D983B8" w:rsidR="003B3D8F" w:rsidRPr="003B3D8F" w:rsidRDefault="003B3D8F" w:rsidP="003B3D8F">
      <w:pPr>
        <w:adjustRightInd w:val="0"/>
        <w:spacing w:after="200"/>
        <w:jc w:val="both"/>
        <w:rPr>
          <w:rFonts w:eastAsia="Calibri"/>
          <w:snapToGrid/>
          <w:sz w:val="24"/>
          <w:szCs w:val="24"/>
        </w:rPr>
      </w:pPr>
      <w:bookmarkStart w:id="269" w:name="_Toc435109091"/>
      <w:bookmarkStart w:id="270" w:name="_Toc529197803"/>
      <w:bookmarkStart w:id="271" w:name="_Toc24116198"/>
      <w:bookmarkStart w:id="272" w:name="_Toc24118692"/>
      <w:bookmarkStart w:id="273" w:name="_Toc24126677"/>
      <w:bookmarkStart w:id="274" w:name="_Toc88829466"/>
      <w:bookmarkStart w:id="275" w:name="_Toc90291006"/>
      <w:r>
        <w:rPr>
          <w:snapToGrid/>
          <w:sz w:val="24"/>
        </w:rPr>
        <w:t>Má se za to, že sdělení je učiněno v okamžiku, kdy je odesláno zasílající stranou (tj. v den a čas, kdy je odesláno).</w:t>
      </w:r>
    </w:p>
    <w:p w14:paraId="6FA6B2EB" w14:textId="53E1CF74" w:rsidR="003B3D8F" w:rsidRPr="003B3D8F" w:rsidRDefault="003B3D8F" w:rsidP="003B3D8F">
      <w:pPr>
        <w:adjustRightInd w:val="0"/>
        <w:spacing w:after="200"/>
        <w:jc w:val="both"/>
        <w:rPr>
          <w:rFonts w:eastAsia="Calibri"/>
          <w:snapToGrid/>
          <w:sz w:val="24"/>
          <w:szCs w:val="24"/>
        </w:rPr>
      </w:pPr>
      <w:r>
        <w:rPr>
          <w:snapToGrid/>
          <w:sz w:val="24"/>
        </w:rPr>
        <w:lastRenderedPageBreak/>
        <w:t>Má se za to, že oficiální oznámení v tištěné podobě zaslané doporučeně s dodejkou je učiněno buď:</w:t>
      </w:r>
    </w:p>
    <w:p w14:paraId="692AC446" w14:textId="7505C53E" w:rsidR="003B3D8F" w:rsidRPr="003B3D8F" w:rsidRDefault="003B3D8F" w:rsidP="004B0794">
      <w:pPr>
        <w:numPr>
          <w:ilvl w:val="0"/>
          <w:numId w:val="4"/>
        </w:numPr>
        <w:spacing w:after="200"/>
        <w:jc w:val="both"/>
        <w:rPr>
          <w:snapToGrid/>
          <w:sz w:val="24"/>
          <w:szCs w:val="22"/>
        </w:rPr>
      </w:pPr>
      <w:r>
        <w:rPr>
          <w:snapToGrid/>
          <w:sz w:val="24"/>
        </w:rPr>
        <w:t>v den doručení zaznamenaný poskytovatelem poštovních služeb, nebo</w:t>
      </w:r>
    </w:p>
    <w:p w14:paraId="28B8A8A4" w14:textId="5D544BAC" w:rsidR="003B3D8F" w:rsidRDefault="003B3D8F" w:rsidP="004B0794">
      <w:pPr>
        <w:numPr>
          <w:ilvl w:val="0"/>
          <w:numId w:val="4"/>
        </w:numPr>
        <w:spacing w:after="200"/>
        <w:jc w:val="both"/>
        <w:rPr>
          <w:snapToGrid/>
          <w:sz w:val="24"/>
          <w:szCs w:val="22"/>
        </w:rPr>
      </w:pPr>
      <w:r>
        <w:rPr>
          <w:snapToGrid/>
          <w:sz w:val="24"/>
        </w:rPr>
        <w:t>v den, kdy uplyne lhůta pro vyzvednutí zásilky na poště.</w:t>
      </w:r>
    </w:p>
    <w:p w14:paraId="42E8ADA9" w14:textId="01BBB4DA" w:rsidR="00A9072E" w:rsidRPr="00A9072E" w:rsidRDefault="00C17558" w:rsidP="00A9072E">
      <w:pPr>
        <w:keepNext/>
        <w:keepLines/>
        <w:spacing w:after="200"/>
        <w:ind w:left="720" w:hanging="720"/>
        <w:jc w:val="both"/>
        <w:outlineLvl w:val="4"/>
        <w:rPr>
          <w:rFonts w:eastAsia="SimSun"/>
          <w:b/>
          <w:snapToGrid/>
          <w:sz w:val="24"/>
          <w:szCs w:val="22"/>
        </w:rPr>
      </w:pPr>
      <w:r>
        <w:rPr>
          <w:b/>
          <w:snapToGrid/>
          <w:sz w:val="24"/>
        </w:rPr>
        <w:t>18.3</w:t>
      </w:r>
      <w:r>
        <w:rPr>
          <w:b/>
          <w:snapToGrid/>
          <w:sz w:val="24"/>
        </w:rPr>
        <w:tab/>
        <w:t>Užitečné informace pro komunikaci</w:t>
      </w:r>
    </w:p>
    <w:p w14:paraId="20DFA109" w14:textId="7ACD9FCC" w:rsidR="00D652CA" w:rsidRDefault="00D652CA" w:rsidP="00D652CA">
      <w:pPr>
        <w:keepNext/>
        <w:keepLines/>
        <w:spacing w:after="200"/>
        <w:jc w:val="both"/>
        <w:rPr>
          <w:i/>
          <w:color w:val="70AD47" w:themeColor="accent6"/>
          <w:sz w:val="24"/>
          <w:szCs w:val="24"/>
        </w:rPr>
      </w:pPr>
      <w:r>
        <w:rPr>
          <w:i/>
          <w:color w:val="70AD47" w:themeColor="accent6"/>
          <w:sz w:val="24"/>
        </w:rPr>
        <w:t xml:space="preserve">[V případě, že jsou do dobrovolnické činnosti zapojeny jiné subjekty nebo organizace, uveďte všechny, které se týkají dobrovolníka:  </w:t>
      </w:r>
    </w:p>
    <w:p w14:paraId="4869E18E" w14:textId="165B6E74" w:rsidR="00A9072E" w:rsidRDefault="007E059D" w:rsidP="00A9072E">
      <w:pPr>
        <w:pStyle w:val="Text1"/>
        <w:ind w:left="0"/>
      </w:pPr>
      <w:r>
        <w:t>Jiné subjekty/organizace zapojené do projektu:</w:t>
      </w:r>
    </w:p>
    <w:p w14:paraId="20FEDAD5" w14:textId="77777777" w:rsidR="00A9072E" w:rsidRPr="00E07705" w:rsidRDefault="00A9072E" w:rsidP="00A9072E">
      <w:pPr>
        <w:widowControl w:val="0"/>
        <w:spacing w:after="180"/>
        <w:jc w:val="both"/>
        <w:rPr>
          <w:rFonts w:eastAsia="Calibri"/>
          <w:snapToGrid/>
          <w:sz w:val="24"/>
          <w:szCs w:val="24"/>
        </w:rPr>
      </w:pPr>
      <w:r>
        <w:rPr>
          <w:snapToGrid/>
          <w:sz w:val="24"/>
        </w:rPr>
        <w:t>[</w:t>
      </w:r>
      <w:r>
        <w:rPr>
          <w:snapToGrid/>
          <w:sz w:val="24"/>
          <w:highlight w:val="lightGray"/>
        </w:rPr>
        <w:t>celý oficiální název</w:t>
      </w:r>
      <w:r>
        <w:rPr>
          <w:snapToGrid/>
          <w:sz w:val="24"/>
        </w:rPr>
        <w:t>]</w:t>
      </w:r>
    </w:p>
    <w:p w14:paraId="6C1DD37A" w14:textId="77777777" w:rsidR="00A9072E" w:rsidRPr="00E07705" w:rsidRDefault="00A9072E" w:rsidP="00A9072E">
      <w:pPr>
        <w:widowControl w:val="0"/>
        <w:spacing w:after="180"/>
        <w:jc w:val="both"/>
        <w:rPr>
          <w:rFonts w:eastAsia="Calibri"/>
          <w:snapToGrid/>
          <w:sz w:val="24"/>
          <w:szCs w:val="24"/>
        </w:rPr>
      </w:pPr>
      <w:r>
        <w:rPr>
          <w:snapToGrid/>
          <w:sz w:val="24"/>
        </w:rPr>
        <w:t>[</w:t>
      </w:r>
      <w:r>
        <w:rPr>
          <w:snapToGrid/>
          <w:sz w:val="24"/>
          <w:highlight w:val="lightGray"/>
        </w:rPr>
        <w:t>oficiální právní forma</w:t>
      </w:r>
      <w:r>
        <w:rPr>
          <w:snapToGrid/>
          <w:sz w:val="24"/>
        </w:rPr>
        <w:t>]</w:t>
      </w:r>
    </w:p>
    <w:p w14:paraId="4F46CEB4" w14:textId="77777777" w:rsidR="00A9072E" w:rsidRPr="00E07705" w:rsidRDefault="00A9072E" w:rsidP="00A9072E">
      <w:pPr>
        <w:widowControl w:val="0"/>
        <w:spacing w:after="180"/>
        <w:jc w:val="both"/>
        <w:rPr>
          <w:rFonts w:eastAsia="Calibri"/>
          <w:snapToGrid/>
          <w:sz w:val="24"/>
          <w:szCs w:val="24"/>
        </w:rPr>
      </w:pPr>
      <w:r>
        <w:rPr>
          <w:snapToGrid/>
          <w:sz w:val="24"/>
        </w:rPr>
        <w:t>[</w:t>
      </w:r>
      <w:r>
        <w:rPr>
          <w:snapToGrid/>
          <w:sz w:val="24"/>
          <w:highlight w:val="lightGray"/>
        </w:rPr>
        <w:t>oficiální identifikační číslo</w:t>
      </w:r>
      <w:r>
        <w:rPr>
          <w:snapToGrid/>
          <w:sz w:val="24"/>
        </w:rPr>
        <w:t>]</w:t>
      </w:r>
    </w:p>
    <w:p w14:paraId="6A74B212" w14:textId="355C14D6" w:rsidR="00A9072E" w:rsidRDefault="00A9072E" w:rsidP="00A9072E">
      <w:pPr>
        <w:widowControl w:val="0"/>
        <w:spacing w:after="180"/>
        <w:jc w:val="both"/>
        <w:rPr>
          <w:rFonts w:eastAsia="Calibri"/>
          <w:snapToGrid/>
          <w:sz w:val="24"/>
          <w:szCs w:val="24"/>
        </w:rPr>
      </w:pPr>
      <w:r>
        <w:rPr>
          <w:snapToGrid/>
          <w:sz w:val="24"/>
        </w:rPr>
        <w:t>[</w:t>
      </w:r>
      <w:r>
        <w:rPr>
          <w:snapToGrid/>
          <w:sz w:val="24"/>
          <w:highlight w:val="lightGray"/>
        </w:rPr>
        <w:t>úplná oficiální adresa</w:t>
      </w:r>
      <w:r>
        <w:rPr>
          <w:snapToGrid/>
          <w:sz w:val="24"/>
        </w:rPr>
        <w:t>]</w:t>
      </w:r>
    </w:p>
    <w:p w14:paraId="4D2B0594" w14:textId="77777777" w:rsidR="00A84654" w:rsidRPr="00E07705" w:rsidRDefault="00A84654" w:rsidP="00A84654">
      <w:pPr>
        <w:spacing w:after="200"/>
        <w:jc w:val="both"/>
        <w:rPr>
          <w:rFonts w:eastAsia="Calibri"/>
          <w:snapToGrid/>
          <w:sz w:val="24"/>
          <w:szCs w:val="24"/>
        </w:rPr>
      </w:pPr>
      <w:r>
        <w:rPr>
          <w:snapToGrid/>
          <w:sz w:val="24"/>
        </w:rPr>
        <w:t>[</w:t>
      </w:r>
      <w:r>
        <w:rPr>
          <w:snapToGrid/>
          <w:sz w:val="24"/>
          <w:highlight w:val="lightGray"/>
        </w:rPr>
        <w:t>telefonní číslo</w:t>
      </w:r>
      <w:r>
        <w:rPr>
          <w:snapToGrid/>
          <w:sz w:val="24"/>
        </w:rPr>
        <w:t>]</w:t>
      </w:r>
    </w:p>
    <w:p w14:paraId="0681D8D5" w14:textId="77777777" w:rsidR="00A84654" w:rsidRDefault="00A84654" w:rsidP="00A84654">
      <w:pPr>
        <w:spacing w:after="200"/>
        <w:jc w:val="both"/>
        <w:rPr>
          <w:rFonts w:eastAsia="Calibri"/>
          <w:snapToGrid/>
          <w:sz w:val="24"/>
          <w:szCs w:val="24"/>
        </w:rPr>
      </w:pPr>
      <w:r>
        <w:rPr>
          <w:snapToGrid/>
          <w:sz w:val="24"/>
        </w:rPr>
        <w:t>[</w:t>
      </w:r>
      <w:r>
        <w:rPr>
          <w:snapToGrid/>
          <w:sz w:val="24"/>
          <w:highlight w:val="lightGray"/>
        </w:rPr>
        <w:t>e-mailová adresa</w:t>
      </w:r>
      <w:r>
        <w:rPr>
          <w:snapToGrid/>
          <w:sz w:val="24"/>
        </w:rPr>
        <w:t xml:space="preserve">] </w:t>
      </w:r>
    </w:p>
    <w:p w14:paraId="4AD7CA4C" w14:textId="3BF9A01B" w:rsidR="00A9072E" w:rsidRDefault="00A9072E" w:rsidP="00A9072E">
      <w:pPr>
        <w:widowControl w:val="0"/>
        <w:spacing w:after="180"/>
        <w:jc w:val="both"/>
        <w:rPr>
          <w:rFonts w:eastAsia="Calibri"/>
          <w:snapToGrid/>
          <w:sz w:val="24"/>
          <w:szCs w:val="24"/>
        </w:rPr>
      </w:pPr>
      <w:r>
        <w:rPr>
          <w:snapToGrid/>
          <w:sz w:val="24"/>
        </w:rPr>
        <w:t>[</w:t>
      </w:r>
      <w:r>
        <w:rPr>
          <w:snapToGrid/>
          <w:sz w:val="24"/>
          <w:highlight w:val="lightGray"/>
        </w:rPr>
        <w:t>úloha v dobrovolnickém projektu</w:t>
      </w:r>
      <w:r>
        <w:rPr>
          <w:snapToGrid/>
          <w:sz w:val="24"/>
        </w:rPr>
        <w:t xml:space="preserve">] </w:t>
      </w:r>
    </w:p>
    <w:p w14:paraId="27709D74" w14:textId="4A7C7D2F" w:rsidR="00A9072E" w:rsidRDefault="00A9072E" w:rsidP="00A9072E">
      <w:pPr>
        <w:widowControl w:val="0"/>
        <w:spacing w:after="180"/>
        <w:jc w:val="both"/>
        <w:rPr>
          <w:rFonts w:eastAsia="Calibri"/>
          <w:snapToGrid/>
          <w:sz w:val="24"/>
          <w:szCs w:val="24"/>
        </w:rPr>
      </w:pPr>
      <w:r>
        <w:rPr>
          <w:snapToGrid/>
          <w:sz w:val="24"/>
        </w:rPr>
        <w:t>Sdělení těmto subjektům/organizacím musí směřovat na výše uvedenou adresu.</w:t>
      </w:r>
      <w:r>
        <w:rPr>
          <w:i/>
          <w:color w:val="70AD47" w:themeColor="accent6"/>
          <w:sz w:val="24"/>
        </w:rPr>
        <w:t>]</w:t>
      </w:r>
    </w:p>
    <w:p w14:paraId="537899AE" w14:textId="7259E215" w:rsidR="00A9072E" w:rsidRDefault="00A9072E" w:rsidP="00A9072E">
      <w:pPr>
        <w:widowControl w:val="0"/>
        <w:spacing w:after="180"/>
        <w:jc w:val="both"/>
        <w:rPr>
          <w:rFonts w:eastAsia="Calibri"/>
          <w:snapToGrid/>
          <w:sz w:val="24"/>
          <w:szCs w:val="24"/>
        </w:rPr>
      </w:pPr>
      <w:r>
        <w:rPr>
          <w:snapToGrid/>
          <w:sz w:val="24"/>
        </w:rPr>
        <w:t xml:space="preserve">Národní agentura pro tento projekt je: </w:t>
      </w:r>
    </w:p>
    <w:p w14:paraId="3CF782AB" w14:textId="7E4DB725" w:rsidR="00A84654" w:rsidRDefault="00A9072E" w:rsidP="002326D3">
      <w:pPr>
        <w:widowControl w:val="0"/>
        <w:spacing w:after="180"/>
        <w:jc w:val="both"/>
        <w:rPr>
          <w:rFonts w:eastAsia="Calibri"/>
          <w:snapToGrid/>
          <w:sz w:val="24"/>
          <w:szCs w:val="24"/>
        </w:rPr>
      </w:pPr>
      <w:r>
        <w:rPr>
          <w:snapToGrid/>
          <w:sz w:val="24"/>
        </w:rPr>
        <w:t>[země] – [identifikační číslo národní agentury]</w:t>
      </w:r>
    </w:p>
    <w:p w14:paraId="5D62554E" w14:textId="666D9486" w:rsidR="00A9072E" w:rsidRDefault="00A9072E" w:rsidP="00A9072E">
      <w:pPr>
        <w:widowControl w:val="0"/>
        <w:spacing w:after="180"/>
        <w:jc w:val="both"/>
        <w:rPr>
          <w:rFonts w:eastAsia="Calibri"/>
          <w:snapToGrid/>
          <w:sz w:val="24"/>
          <w:szCs w:val="24"/>
        </w:rPr>
      </w:pPr>
      <w:r>
        <w:rPr>
          <w:snapToGrid/>
          <w:sz w:val="24"/>
        </w:rPr>
        <w:t>Sdělení národní agentuře musí směřovat na oficiální adresu, kterou najdete na níže uvedených stránkách.</w:t>
      </w:r>
    </w:p>
    <w:p w14:paraId="10A036F3" w14:textId="703B07C2" w:rsidR="00D73E5E" w:rsidRDefault="00D73E5E" w:rsidP="00A9072E">
      <w:pPr>
        <w:widowControl w:val="0"/>
        <w:spacing w:after="180"/>
        <w:jc w:val="both"/>
        <w:rPr>
          <w:rFonts w:eastAsia="Calibri"/>
          <w:snapToGrid/>
          <w:sz w:val="24"/>
          <w:szCs w:val="24"/>
        </w:rPr>
      </w:pPr>
      <w:r>
        <w:rPr>
          <w:snapToGrid/>
          <w:sz w:val="24"/>
        </w:rPr>
        <w:t>https://youth.europa.eu/solidarity/organisations/contact-national-agencies_cs</w:t>
      </w:r>
    </w:p>
    <w:p w14:paraId="471F338B" w14:textId="1A14C6E3" w:rsidR="003B3D8F" w:rsidRPr="003B3D8F" w:rsidRDefault="003B3D8F" w:rsidP="003B3D8F">
      <w:pPr>
        <w:keepNext/>
        <w:keepLines/>
        <w:spacing w:after="200"/>
        <w:ind w:left="1865" w:hanging="1865"/>
        <w:jc w:val="both"/>
        <w:outlineLvl w:val="3"/>
        <w:rPr>
          <w:b/>
          <w:bCs/>
          <w:iCs/>
          <w:caps/>
          <w:snapToGrid/>
          <w:sz w:val="24"/>
          <w:szCs w:val="22"/>
        </w:rPr>
      </w:pPr>
      <w:bookmarkStart w:id="276" w:name="_Toc529877127"/>
      <w:bookmarkStart w:id="277" w:name="_Toc529883753"/>
      <w:bookmarkStart w:id="278" w:name="_Toc529884941"/>
      <w:bookmarkStart w:id="279" w:name="_Toc530035941"/>
      <w:bookmarkStart w:id="280" w:name="_Toc530036567"/>
      <w:bookmarkStart w:id="281" w:name="_Toc530036753"/>
      <w:bookmarkStart w:id="282" w:name="_Toc530396705"/>
      <w:bookmarkStart w:id="283" w:name="_Toc530396900"/>
      <w:bookmarkStart w:id="284" w:name="_Toc530397282"/>
      <w:bookmarkStart w:id="285" w:name="_Toc532247958"/>
      <w:bookmarkStart w:id="286" w:name="_Toc435109094"/>
      <w:bookmarkStart w:id="287" w:name="_Toc524884436"/>
      <w:bookmarkStart w:id="288" w:name="_Toc524885426"/>
      <w:bookmarkStart w:id="289" w:name="_Toc524885598"/>
      <w:bookmarkStart w:id="290" w:name="_Toc524885770"/>
      <w:bookmarkStart w:id="291" w:name="_Toc525221126"/>
      <w:bookmarkStart w:id="292" w:name="_Toc525221305"/>
      <w:bookmarkStart w:id="293" w:name="_Toc525254390"/>
      <w:bookmarkStart w:id="294" w:name="_Toc529197806"/>
      <w:bookmarkStart w:id="295" w:name="_Toc12092808"/>
      <w:bookmarkStart w:id="296" w:name="_Toc24116201"/>
      <w:bookmarkStart w:id="297" w:name="_Toc24118695"/>
      <w:bookmarkStart w:id="298" w:name="_Toc24126680"/>
      <w:bookmarkStart w:id="299" w:name="_Toc88829469"/>
      <w:bookmarkStart w:id="300" w:name="_Toc90291009"/>
      <w:bookmarkStart w:id="301" w:name="_Toc120627766"/>
      <w:bookmarkStart w:id="302" w:name="_Toc435109096"/>
      <w:bookmarkStart w:id="303" w:name="_Toc524697260"/>
      <w:bookmarkStart w:id="304" w:name="_Toc529197808"/>
      <w:bookmarkStart w:id="305" w:name="_Toc53003594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Pr>
          <w:b/>
          <w:caps/>
          <w:snapToGrid/>
          <w:sz w:val="24"/>
        </w:rPr>
        <w:t>ČLÁNEK 19 – DODATKY</w:t>
      </w:r>
      <w:bookmarkEnd w:id="296"/>
      <w:bookmarkEnd w:id="297"/>
      <w:bookmarkEnd w:id="298"/>
      <w:bookmarkEnd w:id="299"/>
      <w:bookmarkEnd w:id="300"/>
      <w:bookmarkEnd w:id="301"/>
      <w:r>
        <w:rPr>
          <w:b/>
          <w:caps/>
          <w:snapToGrid/>
          <w:sz w:val="24"/>
        </w:rPr>
        <w:t xml:space="preserve"> </w:t>
      </w:r>
      <w:bookmarkEnd w:id="302"/>
      <w:bookmarkEnd w:id="303"/>
      <w:bookmarkEnd w:id="304"/>
      <w:bookmarkEnd w:id="305"/>
    </w:p>
    <w:p w14:paraId="6610363A" w14:textId="2D647AD3" w:rsidR="003B3D8F" w:rsidRPr="003B3D8F" w:rsidRDefault="003B3D8F" w:rsidP="003B3D8F">
      <w:pPr>
        <w:spacing w:after="200"/>
        <w:jc w:val="both"/>
        <w:rPr>
          <w:snapToGrid/>
          <w:sz w:val="24"/>
          <w:szCs w:val="24"/>
        </w:rPr>
      </w:pPr>
      <w:r>
        <w:rPr>
          <w:snapToGrid/>
          <w:sz w:val="24"/>
        </w:rPr>
        <w:t>Dohoda může být změněna, pokud dodatek nevyžaduje podstatné změny dohody. V takovém případě musí být podepsána nová dohoda.</w:t>
      </w:r>
    </w:p>
    <w:p w14:paraId="16FD429D" w14:textId="36BE5EEB" w:rsidR="003B3D8F" w:rsidRDefault="003B3D8F" w:rsidP="003B3D8F">
      <w:pPr>
        <w:spacing w:after="200"/>
        <w:ind w:left="851" w:hanging="851"/>
        <w:jc w:val="both"/>
        <w:rPr>
          <w:snapToGrid/>
          <w:sz w:val="24"/>
          <w:szCs w:val="24"/>
        </w:rPr>
      </w:pPr>
      <w:r>
        <w:rPr>
          <w:snapToGrid/>
          <w:sz w:val="24"/>
        </w:rPr>
        <w:t>O dodatek může požádat kterákoli ze stran.</w:t>
      </w:r>
    </w:p>
    <w:p w14:paraId="404C3F4E" w14:textId="0C1BD32E" w:rsidR="00920362" w:rsidRPr="003B3D8F" w:rsidRDefault="00920362" w:rsidP="003B3D8F">
      <w:pPr>
        <w:spacing w:after="200"/>
        <w:ind w:left="851" w:hanging="851"/>
        <w:jc w:val="both"/>
        <w:rPr>
          <w:snapToGrid/>
          <w:sz w:val="24"/>
          <w:szCs w:val="24"/>
        </w:rPr>
      </w:pPr>
      <w:r>
        <w:rPr>
          <w:sz w:val="24"/>
        </w:rPr>
        <w:t>Dodatek k dohodě musí být proveden písemně a včas.</w:t>
      </w:r>
    </w:p>
    <w:p w14:paraId="65B8E866" w14:textId="518D28C3" w:rsidR="003B3D8F" w:rsidRPr="003B3D8F" w:rsidRDefault="003B3D8F" w:rsidP="003B3D8F">
      <w:pPr>
        <w:spacing w:after="200"/>
        <w:jc w:val="both"/>
        <w:rPr>
          <w:snapToGrid/>
          <w:sz w:val="24"/>
          <w:szCs w:val="24"/>
        </w:rPr>
      </w:pPr>
      <w:r>
        <w:rPr>
          <w:snapToGrid/>
          <w:sz w:val="24"/>
        </w:rPr>
        <w:t xml:space="preserve">Dodatek </w:t>
      </w:r>
      <w:r>
        <w:rPr>
          <w:b/>
          <w:snapToGrid/>
          <w:sz w:val="24"/>
        </w:rPr>
        <w:t>vstupuje v platnost</w:t>
      </w:r>
      <w:r>
        <w:rPr>
          <w:snapToGrid/>
          <w:sz w:val="24"/>
        </w:rPr>
        <w:t xml:space="preserve"> dnem, kdy jej podepíše přijímající strana. </w:t>
      </w:r>
    </w:p>
    <w:p w14:paraId="01B87C0E" w14:textId="440069BD" w:rsidR="003B3D8F" w:rsidRDefault="003B3D8F" w:rsidP="003B3D8F">
      <w:pPr>
        <w:spacing w:after="200"/>
        <w:jc w:val="both"/>
        <w:rPr>
          <w:rFonts w:eastAsia="Calibri"/>
          <w:snapToGrid/>
          <w:sz w:val="24"/>
          <w:szCs w:val="24"/>
        </w:rPr>
      </w:pPr>
      <w:r>
        <w:rPr>
          <w:snapToGrid/>
          <w:sz w:val="24"/>
        </w:rPr>
        <w:t xml:space="preserve">Dodatek </w:t>
      </w:r>
      <w:r>
        <w:rPr>
          <w:b/>
          <w:snapToGrid/>
          <w:sz w:val="24"/>
        </w:rPr>
        <w:t>nabývá účinku</w:t>
      </w:r>
      <w:r>
        <w:rPr>
          <w:snapToGrid/>
          <w:sz w:val="24"/>
        </w:rPr>
        <w:t xml:space="preserve"> dnem vstupu v platnost nebo jiným dnem uvedeným v dodatku. </w:t>
      </w:r>
    </w:p>
    <w:p w14:paraId="6BDCC3AD" w14:textId="689247F7" w:rsidR="003B3D8F" w:rsidRPr="003B3D8F" w:rsidRDefault="003B3D8F" w:rsidP="003B3D8F">
      <w:pPr>
        <w:keepNext/>
        <w:keepLines/>
        <w:spacing w:after="200"/>
        <w:ind w:left="1865" w:hanging="1865"/>
        <w:jc w:val="both"/>
        <w:outlineLvl w:val="3"/>
        <w:rPr>
          <w:rFonts w:eastAsia="SimSun"/>
          <w:b/>
          <w:bCs/>
          <w:iCs/>
          <w:caps/>
          <w:snapToGrid/>
          <w:sz w:val="24"/>
          <w:szCs w:val="22"/>
        </w:rPr>
      </w:pPr>
      <w:bookmarkStart w:id="306" w:name="_Toc435109102"/>
      <w:bookmarkStart w:id="307" w:name="_Toc524697263"/>
      <w:bookmarkStart w:id="308" w:name="_Toc529197816"/>
      <w:bookmarkStart w:id="309" w:name="_Toc530035946"/>
      <w:bookmarkStart w:id="310" w:name="_Toc24116209"/>
      <w:bookmarkStart w:id="311" w:name="_Toc24118703"/>
      <w:bookmarkStart w:id="312" w:name="_Toc24126688"/>
      <w:bookmarkStart w:id="313" w:name="_Toc88829477"/>
      <w:bookmarkStart w:id="314" w:name="_Toc90291017"/>
      <w:bookmarkStart w:id="315" w:name="_Toc120627774"/>
      <w:r>
        <w:rPr>
          <w:b/>
          <w:caps/>
          <w:snapToGrid/>
          <w:sz w:val="24"/>
        </w:rPr>
        <w:lastRenderedPageBreak/>
        <w:t>ČLÁNEK 20 – ROZHODNÉ PRÁVO A ŘEŠENÍ SPORŮ</w:t>
      </w:r>
      <w:bookmarkEnd w:id="306"/>
      <w:bookmarkEnd w:id="307"/>
      <w:bookmarkEnd w:id="308"/>
      <w:bookmarkEnd w:id="309"/>
      <w:bookmarkEnd w:id="310"/>
      <w:bookmarkEnd w:id="311"/>
      <w:bookmarkEnd w:id="312"/>
      <w:bookmarkEnd w:id="313"/>
      <w:bookmarkEnd w:id="314"/>
      <w:bookmarkEnd w:id="315"/>
      <w:r>
        <w:rPr>
          <w:b/>
          <w:caps/>
          <w:snapToGrid/>
          <w:sz w:val="24"/>
        </w:rPr>
        <w:t xml:space="preserve"> </w:t>
      </w:r>
    </w:p>
    <w:p w14:paraId="1D6EDCBE" w14:textId="14E7D0DE" w:rsidR="00FA2B54" w:rsidRPr="00066043" w:rsidRDefault="003B3D8F" w:rsidP="00066043">
      <w:pPr>
        <w:jc w:val="both"/>
        <w:rPr>
          <w:snapToGrid/>
        </w:rPr>
      </w:pPr>
      <w:bookmarkStart w:id="316" w:name="_Toc435109104"/>
      <w:bookmarkStart w:id="317" w:name="_Toc529197818"/>
      <w:bookmarkStart w:id="318" w:name="_Toc24116211"/>
      <w:bookmarkStart w:id="319" w:name="_Toc24118705"/>
      <w:bookmarkStart w:id="320" w:name="_Toc24126690"/>
      <w:bookmarkStart w:id="321" w:name="_Toc88829479"/>
      <w:bookmarkStart w:id="322" w:name="_Toc90291019"/>
      <w:r>
        <w:rPr>
          <w:snapToGrid/>
          <w:sz w:val="24"/>
        </w:rPr>
        <w:t>Tato dohoda se řídí vnitrostátním právem [</w:t>
      </w:r>
      <w:r>
        <w:rPr>
          <w:snapToGrid/>
          <w:sz w:val="24"/>
          <w:highlight w:val="lightGray"/>
        </w:rPr>
        <w:t>země národní agentury</w:t>
      </w:r>
      <w:r>
        <w:rPr>
          <w:snapToGrid/>
          <w:sz w:val="24"/>
        </w:rPr>
        <w:t>].</w:t>
      </w:r>
      <w:bookmarkEnd w:id="316"/>
      <w:bookmarkEnd w:id="317"/>
      <w:bookmarkEnd w:id="318"/>
      <w:bookmarkEnd w:id="319"/>
      <w:bookmarkEnd w:id="320"/>
      <w:bookmarkEnd w:id="321"/>
      <w:bookmarkEnd w:id="322"/>
      <w:r>
        <w:rPr>
          <w:snapToGrid/>
          <w:sz w:val="24"/>
        </w:rPr>
        <w:t xml:space="preserve"> Výlučnou pravomoc rozhodovat spory mezi organizací a účastníkem, jež se týkají výkladu, uplatňování či platnosti této dohody a jež nelze urovnat smírnou cestou, má příslušný soud určený v souladu s platným vnitrostátním právem.</w:t>
      </w:r>
    </w:p>
    <w:p w14:paraId="1F507F1D" w14:textId="77777777" w:rsidR="00FA2B54" w:rsidRPr="002326D3" w:rsidRDefault="00FA2B54" w:rsidP="00066043">
      <w:pPr>
        <w:jc w:val="both"/>
        <w:rPr>
          <w:snapToGrid/>
          <w:sz w:val="24"/>
          <w:szCs w:val="24"/>
        </w:rPr>
      </w:pPr>
    </w:p>
    <w:p w14:paraId="48A20520" w14:textId="2777E45A" w:rsidR="003B3D8F" w:rsidRPr="003B3D8F" w:rsidRDefault="003B3D8F" w:rsidP="003B3D8F">
      <w:pPr>
        <w:keepNext/>
        <w:keepLines/>
        <w:spacing w:after="200"/>
        <w:ind w:left="1865" w:hanging="1865"/>
        <w:jc w:val="both"/>
        <w:outlineLvl w:val="3"/>
        <w:rPr>
          <w:rFonts w:eastAsia="SimSun"/>
          <w:b/>
          <w:bCs/>
          <w:iCs/>
          <w:caps/>
          <w:snapToGrid/>
          <w:sz w:val="24"/>
          <w:szCs w:val="22"/>
        </w:rPr>
      </w:pPr>
      <w:bookmarkStart w:id="323" w:name="_Toc435109105"/>
      <w:bookmarkStart w:id="324" w:name="_Toc524697264"/>
      <w:bookmarkStart w:id="325" w:name="_Toc529197819"/>
      <w:bookmarkStart w:id="326" w:name="_Toc530035947"/>
      <w:bookmarkStart w:id="327" w:name="_Toc24116212"/>
      <w:bookmarkStart w:id="328" w:name="_Toc24118706"/>
      <w:bookmarkStart w:id="329" w:name="_Toc24126691"/>
      <w:bookmarkStart w:id="330" w:name="_Toc88829480"/>
      <w:bookmarkStart w:id="331" w:name="_Toc90291020"/>
      <w:bookmarkStart w:id="332" w:name="_Toc120627777"/>
      <w:r>
        <w:rPr>
          <w:b/>
          <w:caps/>
          <w:snapToGrid/>
          <w:sz w:val="24"/>
        </w:rPr>
        <w:t>ČLÁNEK 21 – VSTUP V PLATNOST</w:t>
      </w:r>
      <w:bookmarkEnd w:id="323"/>
      <w:bookmarkEnd w:id="324"/>
      <w:bookmarkEnd w:id="325"/>
      <w:bookmarkEnd w:id="326"/>
      <w:bookmarkEnd w:id="327"/>
      <w:bookmarkEnd w:id="328"/>
      <w:bookmarkEnd w:id="329"/>
      <w:bookmarkEnd w:id="330"/>
      <w:bookmarkEnd w:id="331"/>
      <w:bookmarkEnd w:id="332"/>
    </w:p>
    <w:p w14:paraId="0AAB88C0" w14:textId="1C44959D" w:rsidR="003B3D8F" w:rsidRPr="003B3D8F" w:rsidRDefault="003B3D8F" w:rsidP="003B3D8F">
      <w:pPr>
        <w:tabs>
          <w:tab w:val="left" w:pos="851"/>
        </w:tabs>
        <w:spacing w:after="200"/>
        <w:jc w:val="both"/>
        <w:rPr>
          <w:snapToGrid/>
          <w:sz w:val="24"/>
          <w:szCs w:val="24"/>
        </w:rPr>
      </w:pPr>
      <w:r>
        <w:rPr>
          <w:snapToGrid/>
          <w:sz w:val="24"/>
        </w:rPr>
        <w:t>Dohoda vstoupí v platnost dnem [</w:t>
      </w:r>
      <w:r>
        <w:rPr>
          <w:snapToGrid/>
          <w:sz w:val="24"/>
          <w:highlight w:val="lightGray"/>
        </w:rPr>
        <w:t>datum podpisu účastníka</w:t>
      </w:r>
      <w:r>
        <w:rPr>
          <w:snapToGrid/>
          <w:sz w:val="24"/>
        </w:rPr>
        <w:t xml:space="preserve">]. </w:t>
      </w:r>
    </w:p>
    <w:p w14:paraId="71A9E558" w14:textId="77777777" w:rsidR="003B3D8F" w:rsidRPr="002326D3" w:rsidRDefault="003B3D8F" w:rsidP="003B3D8F">
      <w:pPr>
        <w:tabs>
          <w:tab w:val="left" w:pos="828"/>
        </w:tabs>
        <w:spacing w:after="200"/>
        <w:ind w:left="720"/>
        <w:jc w:val="both"/>
        <w:rPr>
          <w:rFonts w:eastAsia="Calibri"/>
          <w:snapToGrid/>
          <w:sz w:val="24"/>
          <w:szCs w:val="24"/>
          <w:lang w:eastAsia="en-US"/>
        </w:rPr>
      </w:pPr>
    </w:p>
    <w:p w14:paraId="1DD058A2" w14:textId="77777777" w:rsidR="003B3D8F" w:rsidRPr="003B3D8F" w:rsidRDefault="003B3D8F" w:rsidP="003B3D8F">
      <w:pPr>
        <w:jc w:val="both"/>
        <w:rPr>
          <w:snapToGrid/>
          <w:sz w:val="24"/>
        </w:rPr>
      </w:pPr>
      <w:r>
        <w:rPr>
          <w:snapToGrid/>
          <w:sz w:val="24"/>
        </w:rPr>
        <w:t>PODPISY</w:t>
      </w:r>
    </w:p>
    <w:p w14:paraId="5CE4F579" w14:textId="2B305ECB" w:rsidR="003B3D8F" w:rsidRPr="003B3D8F" w:rsidRDefault="003B3D8F" w:rsidP="003B3D8F">
      <w:pPr>
        <w:ind w:left="4962" w:hanging="4962"/>
        <w:jc w:val="both"/>
        <w:rPr>
          <w:rFonts w:eastAsia="Calibri"/>
          <w:bCs/>
          <w:snapToGrid/>
          <w:sz w:val="24"/>
          <w:szCs w:val="24"/>
        </w:rPr>
      </w:pPr>
      <w:r>
        <w:rPr>
          <w:snapToGrid/>
          <w:sz w:val="24"/>
        </w:rPr>
        <w:t>Za účastníka</w:t>
      </w:r>
      <w:r>
        <w:rPr>
          <w:snapToGrid/>
          <w:sz w:val="24"/>
        </w:rPr>
        <w:tab/>
        <w:t>Za organizaci</w:t>
      </w:r>
    </w:p>
    <w:p w14:paraId="56AA0CC1" w14:textId="23F6DFA8" w:rsidR="003B3D8F" w:rsidRPr="003B3D8F" w:rsidRDefault="003B3D8F" w:rsidP="003B3D8F">
      <w:pPr>
        <w:ind w:left="4962" w:hanging="4962"/>
        <w:jc w:val="both"/>
        <w:rPr>
          <w:snapToGrid/>
          <w:sz w:val="24"/>
        </w:rPr>
      </w:pPr>
      <w:r>
        <w:rPr>
          <w:snapToGrid/>
          <w:sz w:val="24"/>
        </w:rPr>
        <w:t>[</w:t>
      </w:r>
      <w:r>
        <w:rPr>
          <w:snapToGrid/>
          <w:sz w:val="24"/>
          <w:highlight w:val="lightGray"/>
        </w:rPr>
        <w:t>jméno/příjmení</w:t>
      </w:r>
      <w:r>
        <w:rPr>
          <w:snapToGrid/>
          <w:sz w:val="24"/>
        </w:rPr>
        <w:t>]</w:t>
      </w:r>
      <w:r>
        <w:rPr>
          <w:snapToGrid/>
          <w:sz w:val="24"/>
        </w:rPr>
        <w:tab/>
        <w:t>[</w:t>
      </w:r>
      <w:r>
        <w:rPr>
          <w:snapToGrid/>
          <w:sz w:val="24"/>
          <w:highlight w:val="lightGray"/>
        </w:rPr>
        <w:t>jméno/příjmení/funkce</w:t>
      </w:r>
      <w:r>
        <w:rPr>
          <w:snapToGrid/>
          <w:sz w:val="24"/>
        </w:rPr>
        <w:t>]</w:t>
      </w:r>
    </w:p>
    <w:p w14:paraId="54B8343C" w14:textId="3F521097" w:rsidR="003B3D8F" w:rsidRPr="003B3D8F" w:rsidRDefault="003B3D8F" w:rsidP="003B3D8F">
      <w:pPr>
        <w:ind w:left="4962" w:hanging="4962"/>
        <w:jc w:val="both"/>
        <w:rPr>
          <w:snapToGrid/>
          <w:sz w:val="24"/>
        </w:rPr>
      </w:pPr>
      <w:r>
        <w:rPr>
          <w:snapToGrid/>
          <w:sz w:val="24"/>
        </w:rPr>
        <w:t>[</w:t>
      </w:r>
      <w:r>
        <w:rPr>
          <w:snapToGrid/>
          <w:sz w:val="24"/>
          <w:highlight w:val="lightGray"/>
        </w:rPr>
        <w:t>podpis</w:t>
      </w:r>
      <w:r>
        <w:rPr>
          <w:snapToGrid/>
          <w:sz w:val="24"/>
        </w:rPr>
        <w:t>]</w:t>
      </w:r>
      <w:r>
        <w:rPr>
          <w:snapToGrid/>
          <w:sz w:val="24"/>
        </w:rPr>
        <w:tab/>
        <w:t>[</w:t>
      </w:r>
      <w:r>
        <w:rPr>
          <w:snapToGrid/>
          <w:sz w:val="24"/>
          <w:highlight w:val="lightGray"/>
        </w:rPr>
        <w:t>podpis</w:t>
      </w:r>
      <w:r>
        <w:rPr>
          <w:snapToGrid/>
          <w:sz w:val="24"/>
        </w:rPr>
        <w:t>]</w:t>
      </w:r>
    </w:p>
    <w:p w14:paraId="61CEA303" w14:textId="08956A13" w:rsidR="00E85892" w:rsidRDefault="003B3D8F" w:rsidP="00DE5053">
      <w:pPr>
        <w:ind w:left="4962" w:hanging="4962"/>
        <w:jc w:val="both"/>
      </w:pPr>
      <w:r>
        <w:rPr>
          <w:snapToGrid/>
          <w:sz w:val="24"/>
        </w:rPr>
        <w:t>Vyhotoveno v [</w:t>
      </w:r>
      <w:r>
        <w:rPr>
          <w:snapToGrid/>
          <w:sz w:val="24"/>
          <w:highlight w:val="lightGray"/>
        </w:rPr>
        <w:t>českém jazyce</w:t>
      </w:r>
      <w:r>
        <w:rPr>
          <w:snapToGrid/>
          <w:sz w:val="24"/>
        </w:rPr>
        <w:t>]</w:t>
      </w:r>
      <w:r>
        <w:rPr>
          <w:snapToGrid/>
          <w:sz w:val="24"/>
        </w:rPr>
        <w:tab/>
        <w:t>Vyhotoveno v [</w:t>
      </w:r>
      <w:r>
        <w:rPr>
          <w:snapToGrid/>
          <w:sz w:val="24"/>
          <w:highlight w:val="lightGray"/>
        </w:rPr>
        <w:t>českém jazyce</w:t>
      </w:r>
      <w:r>
        <w:rPr>
          <w:snapToGrid/>
          <w:sz w:val="24"/>
        </w:rPr>
        <w:t xml:space="preserve">] </w:t>
      </w:r>
      <w:bookmarkEnd w:id="78"/>
    </w:p>
    <w:sectPr w:rsidR="00E85892" w:rsidSect="0076794B">
      <w:footerReference w:type="default" r:id="rId10"/>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B9EF" w14:textId="77777777" w:rsidR="00840E6E" w:rsidRDefault="00840E6E">
      <w:r>
        <w:separator/>
      </w:r>
    </w:p>
    <w:p w14:paraId="49BBD732" w14:textId="77777777" w:rsidR="00840E6E" w:rsidRDefault="00840E6E"/>
  </w:endnote>
  <w:endnote w:type="continuationSeparator" w:id="0">
    <w:p w14:paraId="7338EDB4" w14:textId="77777777" w:rsidR="00840E6E" w:rsidRDefault="00840E6E">
      <w:r>
        <w:continuationSeparator/>
      </w:r>
    </w:p>
    <w:p w14:paraId="6A040301" w14:textId="77777777" w:rsidR="00840E6E" w:rsidRDefault="00840E6E"/>
  </w:endnote>
  <w:endnote w:type="continuationNotice" w:id="1">
    <w:p w14:paraId="52F634D4" w14:textId="77777777" w:rsidR="00840E6E" w:rsidRDefault="00840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EC Square Sans Pro Light">
    <w:panose1 w:val="020B0506000000020004"/>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CA27" w14:textId="7CFB338C" w:rsidR="00A83522" w:rsidRDefault="00A83522"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2948AE">
      <w:rPr>
        <w:rStyle w:val="PageNumber"/>
      </w:rPr>
      <w:t>6</w:t>
    </w:r>
    <w:r>
      <w:rPr>
        <w:rStyle w:val="PageNumber"/>
      </w:rPr>
      <w:fldChar w:fldCharType="end"/>
    </w:r>
  </w:p>
  <w:p w14:paraId="15A60EFD" w14:textId="77777777" w:rsidR="00A83522" w:rsidRDefault="00A83522">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CF6B5" w14:textId="77777777" w:rsidR="00840E6E" w:rsidRDefault="00840E6E">
      <w:r>
        <w:separator/>
      </w:r>
    </w:p>
    <w:p w14:paraId="1F1159FE" w14:textId="77777777" w:rsidR="00840E6E" w:rsidRDefault="00840E6E"/>
  </w:footnote>
  <w:footnote w:type="continuationSeparator" w:id="0">
    <w:p w14:paraId="2352C7B9" w14:textId="77777777" w:rsidR="00840E6E" w:rsidRDefault="00840E6E">
      <w:r>
        <w:continuationSeparator/>
      </w:r>
    </w:p>
    <w:p w14:paraId="39C4B822" w14:textId="77777777" w:rsidR="00840E6E" w:rsidRDefault="00840E6E"/>
  </w:footnote>
  <w:footnote w:type="continuationNotice" w:id="1">
    <w:p w14:paraId="791C739E" w14:textId="77777777" w:rsidR="00840E6E" w:rsidRDefault="00840E6E"/>
  </w:footnote>
  <w:footnote w:id="2">
    <w:p w14:paraId="448C3FB5" w14:textId="0423BF3F" w:rsidR="00A83522" w:rsidRPr="00066043" w:rsidRDefault="00A83522" w:rsidP="00396C5C">
      <w:pPr>
        <w:pStyle w:val="FootnoteText"/>
        <w:spacing w:after="120"/>
        <w:ind w:left="0" w:firstLine="0"/>
      </w:pPr>
      <w:r>
        <w:rPr>
          <w:rStyle w:val="FootnoteReference"/>
          <w:vertAlign w:val="superscript"/>
        </w:rPr>
        <w:footnoteRef/>
      </w:r>
      <w:r>
        <w:t xml:space="preserve"> </w:t>
      </w:r>
      <w:r>
        <w:rPr>
          <w:color w:val="538135" w:themeColor="accent6" w:themeShade="BF"/>
        </w:rPr>
        <w:t>Tuto šablonu může vyplnit národní agentura nebo účastnická organizace. Tento dokument je povinný pro individuální a týmové dobrovolnické činnosti.</w:t>
      </w:r>
    </w:p>
  </w:footnote>
  <w:footnote w:id="3">
    <w:p w14:paraId="2B233557" w14:textId="0810910A" w:rsidR="00A83522" w:rsidRPr="00396C5C" w:rsidRDefault="00A83522">
      <w:pPr>
        <w:pStyle w:val="FootnoteText"/>
      </w:pPr>
      <w:r>
        <w:rPr>
          <w:rStyle w:val="FootnoteReference"/>
          <w:vertAlign w:val="superscript"/>
        </w:rPr>
        <w:footnoteRef/>
      </w:r>
      <w:r>
        <w:t xml:space="preserve"> Osobní referenční číslo (Personal Reference Number) z Evropského portálu pro mládež.</w:t>
      </w:r>
    </w:p>
  </w:footnote>
  <w:footnote w:id="4">
    <w:p w14:paraId="16B5F878" w14:textId="57AB0A09" w:rsidR="00A83522" w:rsidRPr="007B4ABD" w:rsidRDefault="00A83522" w:rsidP="00066043">
      <w:pPr>
        <w:pStyle w:val="FootnoteText"/>
        <w:spacing w:after="0"/>
        <w:ind w:left="142" w:hanging="142"/>
      </w:pPr>
      <w:r>
        <w:rPr>
          <w:rStyle w:val="FootnoteReference"/>
          <w:vertAlign w:val="superscript"/>
        </w:rPr>
        <w:footnoteRef/>
      </w:r>
      <w:r>
        <w:t xml:space="preserve"> </w:t>
      </w:r>
      <w:r>
        <w:rPr>
          <w:color w:val="000000"/>
        </w:rPr>
        <w:t xml:space="preserve">Směrnice Evropského parlamentu a Rady (EU) 2017/1371 ze dne 5. července 2017 o boji vedeném trestněprávní cestou proti podvodům poškozujícím finanční zájmy Unie (Úř. věst. L 198, 28.7.2017, s. 29). </w:t>
      </w:r>
    </w:p>
  </w:footnote>
  <w:footnote w:id="5">
    <w:p w14:paraId="5E09C006" w14:textId="04C98322" w:rsidR="00A83522" w:rsidRPr="007B4ABD" w:rsidRDefault="00A83522" w:rsidP="00066043">
      <w:pPr>
        <w:pStyle w:val="FootnoteText"/>
        <w:spacing w:after="0"/>
        <w:ind w:left="360" w:hanging="360"/>
      </w:pPr>
      <w:r>
        <w:rPr>
          <w:rStyle w:val="FootnoteReference"/>
          <w:vertAlign w:val="superscript"/>
        </w:rPr>
        <w:footnoteRef/>
      </w:r>
      <w:r>
        <w:t xml:space="preserve"> </w:t>
      </w:r>
      <w:r>
        <w:rPr>
          <w:color w:val="000000"/>
        </w:rPr>
        <w:t>Úř. věst. C 316, 27.11.1995, s. 48.</w:t>
      </w:r>
    </w:p>
  </w:footnote>
  <w:footnote w:id="6">
    <w:p w14:paraId="0D7D9ACB" w14:textId="2DC35AC5" w:rsidR="00A83522" w:rsidRPr="007B4ABD" w:rsidRDefault="00A83522" w:rsidP="00621CC5">
      <w:pPr>
        <w:pStyle w:val="FootnoteText"/>
        <w:spacing w:after="0"/>
        <w:ind w:left="142" w:hanging="142"/>
      </w:pPr>
      <w:r>
        <w:rPr>
          <w:rStyle w:val="FootnoteReference"/>
          <w:vertAlign w:val="superscript"/>
        </w:rPr>
        <w:footnoteRef/>
      </w:r>
      <w:r w:rsidR="002326D3">
        <w:rPr>
          <w:color w:val="000000"/>
        </w:rPr>
        <w:t xml:space="preserve"> </w:t>
      </w:r>
      <w:r>
        <w:rPr>
          <w:color w:val="000000"/>
        </w:rPr>
        <w:t>Nařízení Rady (ES, Euratom) č. 2988/95 ze dne 18. prosince 1995 o ochraně finančních zájmů Evropských společenství (Úř. věst. L 312, 23.12.1995, s. 1).</w:t>
      </w:r>
    </w:p>
  </w:footnote>
  <w:footnote w:id="7">
    <w:p w14:paraId="120E72E7" w14:textId="77777777" w:rsidR="00A83522" w:rsidRPr="00952DB2" w:rsidRDefault="00A83522" w:rsidP="005A52F6">
      <w:pPr>
        <w:jc w:val="both"/>
      </w:pPr>
      <w:r>
        <w:rPr>
          <w:rStyle w:val="FootnoteReference"/>
          <w:vertAlign w:val="superscript"/>
          <w:lang w:val="en-GB"/>
        </w:rPr>
        <w:footnoteRef/>
      </w:r>
      <w:r>
        <w:t xml:space="preserve"> Datem zahájení činnosti je první den, kdy účastník musí být přítomen v hostitelské organizaci.</w:t>
      </w:r>
    </w:p>
  </w:footnote>
  <w:footnote w:id="8">
    <w:p w14:paraId="4F5ABE2A" w14:textId="10CABBD4" w:rsidR="00A83522" w:rsidRPr="00952DB2" w:rsidRDefault="00A83522" w:rsidP="005A52F6">
      <w:pPr>
        <w:jc w:val="both"/>
      </w:pPr>
      <w:r>
        <w:rPr>
          <w:rStyle w:val="FootnoteReference"/>
          <w:vertAlign w:val="superscript"/>
          <w:lang w:val="en-GB"/>
        </w:rPr>
        <w:footnoteRef/>
      </w:r>
      <w:r>
        <w:rPr>
          <w:rStyle w:val="FootnoteReference"/>
        </w:rPr>
        <w:t xml:space="preserve"> </w:t>
      </w:r>
      <w:r>
        <w:t>Datem ukončení činnosti je poslední den, kdy účastník musí být přítomen v hostitelské organizaci.</w:t>
      </w:r>
    </w:p>
  </w:footnote>
  <w:footnote w:id="9">
    <w:p w14:paraId="235923FB" w14:textId="0823167B" w:rsidR="00A83522" w:rsidRPr="002326D3" w:rsidRDefault="00A83522" w:rsidP="00904EF1">
      <w:pPr>
        <w:pStyle w:val="FootnoteText"/>
        <w:spacing w:after="0"/>
        <w:ind w:left="360" w:hanging="360"/>
      </w:pPr>
      <w:r>
        <w:rPr>
          <w:rStyle w:val="FootnoteReference"/>
          <w:vertAlign w:val="superscript"/>
        </w:rPr>
        <w:footnoteRef/>
      </w:r>
      <w:r>
        <w:tab/>
      </w:r>
      <w:r w:rsidRPr="002326D3">
        <w:t>Nařízení Evropského parlamentu a Rady (EU) 2018/1725 ze dne 23. října 2018 o ochraně fyzických osob v</w:t>
      </w:r>
      <w:r w:rsidR="002326D3">
        <w:t> </w:t>
      </w:r>
      <w:r w:rsidRPr="002326D3">
        <w:t xml:space="preserve">souvislosti se zpracováním osobních údajů orgány, institucemi a jinými právními subjekty Unie a o volném pohybu těchto údajů a o zrušení nařízení (ES) č. 45/2001 a rozhodnutí č. 1247/2002/ES. </w:t>
      </w:r>
    </w:p>
  </w:footnote>
  <w:footnote w:id="10">
    <w:p w14:paraId="3532C337" w14:textId="4B47B104" w:rsidR="00A83522" w:rsidRPr="002326D3" w:rsidRDefault="00A83522">
      <w:pPr>
        <w:pStyle w:val="FootnoteText"/>
      </w:pPr>
      <w:r w:rsidRPr="002326D3">
        <w:rPr>
          <w:rStyle w:val="FootnoteReference"/>
          <w:vertAlign w:val="superscript"/>
        </w:rPr>
        <w:footnoteRef/>
      </w:r>
      <w:r w:rsidRPr="002326D3">
        <w:t xml:space="preserve"> </w:t>
      </w:r>
      <w:r w:rsidRPr="002326D3">
        <w:tab/>
      </w:r>
      <w:hyperlink r:id="rId1" w:history="1">
        <w:r w:rsidRPr="002326D3">
          <w:rPr>
            <w:rStyle w:val="Hyperlink"/>
          </w:rPr>
          <w:t>https://youth.europa.eu/solidarity/organisations/contact-national-agencies_cs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749300">
    <w:abstractNumId w:val="0"/>
  </w:num>
  <w:num w:numId="2" w16cid:durableId="1764833844">
    <w:abstractNumId w:val="7"/>
  </w:num>
  <w:num w:numId="3" w16cid:durableId="2094741905">
    <w:abstractNumId w:val="1"/>
  </w:num>
  <w:num w:numId="4" w16cid:durableId="349188881">
    <w:abstractNumId w:val="34"/>
  </w:num>
  <w:num w:numId="5" w16cid:durableId="263265012">
    <w:abstractNumId w:val="12"/>
  </w:num>
  <w:num w:numId="6" w16cid:durableId="1028527466">
    <w:abstractNumId w:val="16"/>
  </w:num>
  <w:num w:numId="7" w16cid:durableId="1364943631">
    <w:abstractNumId w:val="36"/>
  </w:num>
  <w:num w:numId="8" w16cid:durableId="143205355">
    <w:abstractNumId w:val="28"/>
  </w:num>
  <w:num w:numId="9" w16cid:durableId="33626688">
    <w:abstractNumId w:val="9"/>
  </w:num>
  <w:num w:numId="10" w16cid:durableId="487598838">
    <w:abstractNumId w:val="37"/>
  </w:num>
  <w:num w:numId="11" w16cid:durableId="490022298">
    <w:abstractNumId w:val="25"/>
  </w:num>
  <w:num w:numId="12" w16cid:durableId="1326663780">
    <w:abstractNumId w:val="3"/>
  </w:num>
  <w:num w:numId="13" w16cid:durableId="1067220595">
    <w:abstractNumId w:val="27"/>
  </w:num>
  <w:num w:numId="14" w16cid:durableId="1096365466">
    <w:abstractNumId w:val="17"/>
  </w:num>
  <w:num w:numId="15" w16cid:durableId="1927029709">
    <w:abstractNumId w:val="14"/>
  </w:num>
  <w:num w:numId="16" w16cid:durableId="1250775588">
    <w:abstractNumId w:val="6"/>
  </w:num>
  <w:num w:numId="17" w16cid:durableId="1597791144">
    <w:abstractNumId w:val="5"/>
  </w:num>
  <w:num w:numId="18" w16cid:durableId="250898857">
    <w:abstractNumId w:val="31"/>
  </w:num>
  <w:num w:numId="19" w16cid:durableId="1151629636">
    <w:abstractNumId w:val="33"/>
  </w:num>
  <w:num w:numId="20" w16cid:durableId="374081531">
    <w:abstractNumId w:val="32"/>
  </w:num>
  <w:num w:numId="21" w16cid:durableId="342823370">
    <w:abstractNumId w:val="35"/>
  </w:num>
  <w:num w:numId="22" w16cid:durableId="150995929">
    <w:abstractNumId w:val="11"/>
  </w:num>
  <w:num w:numId="23" w16cid:durableId="1983656212">
    <w:abstractNumId w:val="18"/>
  </w:num>
  <w:num w:numId="24" w16cid:durableId="257449479">
    <w:abstractNumId w:val="20"/>
  </w:num>
  <w:num w:numId="25" w16cid:durableId="2084403481">
    <w:abstractNumId w:val="19"/>
  </w:num>
  <w:num w:numId="26" w16cid:durableId="2133861597">
    <w:abstractNumId w:val="2"/>
  </w:num>
  <w:num w:numId="27" w16cid:durableId="985010882">
    <w:abstractNumId w:val="24"/>
  </w:num>
  <w:num w:numId="28" w16cid:durableId="1496534352">
    <w:abstractNumId w:val="23"/>
  </w:num>
  <w:num w:numId="29" w16cid:durableId="344404854">
    <w:abstractNumId w:val="40"/>
  </w:num>
  <w:num w:numId="30" w16cid:durableId="1652903627">
    <w:abstractNumId w:val="26"/>
  </w:num>
  <w:num w:numId="31" w16cid:durableId="1202862067">
    <w:abstractNumId w:val="29"/>
  </w:num>
  <w:num w:numId="32" w16cid:durableId="313342988">
    <w:abstractNumId w:val="22"/>
  </w:num>
  <w:num w:numId="33" w16cid:durableId="391198129">
    <w:abstractNumId w:val="13"/>
  </w:num>
  <w:num w:numId="34" w16cid:durableId="947002239">
    <w:abstractNumId w:val="21"/>
  </w:num>
  <w:num w:numId="35" w16cid:durableId="966934654">
    <w:abstractNumId w:val="10"/>
  </w:num>
  <w:num w:numId="36" w16cid:durableId="1164584946">
    <w:abstractNumId w:val="8"/>
  </w:num>
  <w:num w:numId="37" w16cid:durableId="1709258790">
    <w:abstractNumId w:val="30"/>
  </w:num>
  <w:num w:numId="38" w16cid:durableId="80223001">
    <w:abstractNumId w:val="39"/>
  </w:num>
  <w:num w:numId="39" w16cid:durableId="824517980">
    <w:abstractNumId w:val="15"/>
  </w:num>
  <w:num w:numId="40" w16cid:durableId="1337269834">
    <w:abstractNumId w:val="38"/>
  </w:num>
  <w:num w:numId="41" w16cid:durableId="83564973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071D5"/>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0FF5"/>
    <w:rsid w:val="000628F0"/>
    <w:rsid w:val="00065470"/>
    <w:rsid w:val="00066043"/>
    <w:rsid w:val="00066731"/>
    <w:rsid w:val="00066DA6"/>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02DB"/>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0C4"/>
    <w:rsid w:val="001776D8"/>
    <w:rsid w:val="00181013"/>
    <w:rsid w:val="00183642"/>
    <w:rsid w:val="0019079E"/>
    <w:rsid w:val="00190898"/>
    <w:rsid w:val="00191793"/>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6D3"/>
    <w:rsid w:val="00232886"/>
    <w:rsid w:val="00233226"/>
    <w:rsid w:val="00235926"/>
    <w:rsid w:val="002377D9"/>
    <w:rsid w:val="0023790E"/>
    <w:rsid w:val="00240F5F"/>
    <w:rsid w:val="00241082"/>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987"/>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3E3E"/>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B0858"/>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2F40"/>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44F"/>
    <w:rsid w:val="006D1ECB"/>
    <w:rsid w:val="006D51C7"/>
    <w:rsid w:val="006D57A1"/>
    <w:rsid w:val="006D607C"/>
    <w:rsid w:val="006D6268"/>
    <w:rsid w:val="006D6AD6"/>
    <w:rsid w:val="006E02F2"/>
    <w:rsid w:val="006E04BB"/>
    <w:rsid w:val="006E62EE"/>
    <w:rsid w:val="006F1CEA"/>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2C9E"/>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B84"/>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A5F35"/>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0E6E"/>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2D57"/>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4D5B"/>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5644"/>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27E9A"/>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4342"/>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44892"/>
    <w:rsid w:val="00D47590"/>
    <w:rsid w:val="00D52020"/>
    <w:rsid w:val="00D52171"/>
    <w:rsid w:val="00D53BA8"/>
    <w:rsid w:val="00D5448C"/>
    <w:rsid w:val="00D57FED"/>
    <w:rsid w:val="00D60487"/>
    <w:rsid w:val="00D61043"/>
    <w:rsid w:val="00D61471"/>
    <w:rsid w:val="00D652CA"/>
    <w:rsid w:val="00D71E90"/>
    <w:rsid w:val="00D73D41"/>
    <w:rsid w:val="00D73E5E"/>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rPr>
  </w:style>
  <w:style w:type="paragraph" w:styleId="Heading1">
    <w:name w:val="heading 1"/>
    <w:basedOn w:val="Normal"/>
    <w:next w:val="Text1"/>
    <w:link w:val="Heading1Char"/>
    <w:qFormat/>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
    <w:qFormat/>
    <w:pPr>
      <w:keepNext/>
      <w:numPr>
        <w:ilvl w:val="1"/>
        <w:numId w:val="1"/>
      </w:numPr>
      <w:spacing w:after="240"/>
      <w:jc w:val="both"/>
      <w:outlineLvl w:val="1"/>
    </w:pPr>
    <w:rPr>
      <w:b/>
      <w:sz w:val="24"/>
    </w:rPr>
  </w:style>
  <w:style w:type="paragraph" w:styleId="Heading3">
    <w:name w:val="heading 3"/>
    <w:basedOn w:val="Normal"/>
    <w:next w:val="Text3"/>
    <w:link w:val="Heading3Char"/>
    <w:uiPriority w:val="9"/>
    <w:qFormat/>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pPr>
      <w:keepNext/>
      <w:spacing w:after="240"/>
      <w:jc w:val="both"/>
      <w:outlineLvl w:val="3"/>
    </w:pPr>
    <w:rPr>
      <w:sz w:val="24"/>
    </w:rPr>
  </w:style>
  <w:style w:type="paragraph" w:styleId="Heading5">
    <w:name w:val="heading 5"/>
    <w:basedOn w:val="Normal"/>
    <w:next w:val="Normal"/>
    <w:link w:val="Heading5Char"/>
    <w:uiPriority w:val="9"/>
    <w:qFormat/>
    <w:pPr>
      <w:spacing w:before="240" w:after="60"/>
      <w:jc w:val="both"/>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pPr>
      <w:spacing w:after="240"/>
      <w:ind w:left="357" w:hanging="357"/>
      <w:jc w:val="both"/>
    </w:pPr>
  </w:style>
  <w:style w:type="character" w:styleId="PageNumber">
    <w:name w:val="page number"/>
    <w:rPr>
      <w:rFonts w:cs="Times New Roman"/>
    </w:rPr>
  </w:style>
  <w:style w:type="paragraph" w:styleId="Header">
    <w:name w:val="header"/>
    <w:basedOn w:val="Normal"/>
    <w:link w:val="HeaderChar"/>
    <w:pPr>
      <w:tabs>
        <w:tab w:val="center" w:pos="4153"/>
        <w:tab w:val="right" w:pos="8306"/>
      </w:tabs>
      <w:spacing w:after="240"/>
      <w:jc w:val="both"/>
    </w:pPr>
    <w:rPr>
      <w:sz w:val="24"/>
    </w:rPr>
  </w:style>
  <w:style w:type="paragraph" w:styleId="Footer">
    <w:name w:val="footer"/>
    <w:basedOn w:val="Normal"/>
    <w:link w:val="Footer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rPr>
  </w:style>
  <w:style w:type="character" w:styleId="Emphasis">
    <w:name w:val="Emphasis"/>
    <w:uiPriority w:val="20"/>
    <w:qFormat/>
    <w:rPr>
      <w:rFonts w:cs="Times New Roman"/>
      <w:i/>
    </w:rPr>
  </w:style>
  <w:style w:type="character" w:styleId="Hyperlink">
    <w:name w:val="Hyperlink"/>
    <w:uiPriority w:val="99"/>
    <w:qFormat/>
    <w:rPr>
      <w:rFonts w:cs="Times New Roman"/>
      <w:color w:val="0000FF"/>
      <w:u w:val="single"/>
    </w:rPr>
  </w:style>
  <w:style w:type="character" w:styleId="Strong">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link w:val="BalloonTextChar"/>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cs-CZ"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rPr>
      <w:lang w:eastAsia="x-none"/>
    </w:rPr>
  </w:style>
  <w:style w:type="character" w:customStyle="1" w:styleId="CommentTextChar">
    <w:name w:val="Comment Text Char"/>
    <w:link w:val="CommentText"/>
    <w:uiPriority w:val="99"/>
    <w:rsid w:val="00FB10DF"/>
    <w:rPr>
      <w:snapToGrid w:val="0"/>
      <w:lang w:val="cs-CZ"/>
    </w:rPr>
  </w:style>
  <w:style w:type="paragraph" w:styleId="CommentSubject">
    <w:name w:val="annotation subject"/>
    <w:basedOn w:val="CommentText"/>
    <w:next w:val="CommentText"/>
    <w:link w:val="CommentSubjectChar"/>
    <w:uiPriority w:val="99"/>
    <w:rsid w:val="00FB10DF"/>
    <w:rPr>
      <w:b/>
      <w:bCs/>
    </w:rPr>
  </w:style>
  <w:style w:type="character" w:customStyle="1" w:styleId="CommentSubjectChar">
    <w:name w:val="Comment Subject Char"/>
    <w:link w:val="CommentSubject"/>
    <w:rsid w:val="00FB10DF"/>
    <w:rPr>
      <w:b/>
      <w:bCs/>
      <w:snapToGrid w:val="0"/>
      <w:lang w:val="cs-CZ"/>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cs-CZ"/>
    </w:rPr>
  </w:style>
  <w:style w:type="character" w:styleId="EndnoteReference">
    <w:name w:val="endnote reference"/>
    <w:rsid w:val="002E24F7"/>
    <w:rPr>
      <w:vertAlign w:val="superscript"/>
    </w:rPr>
  </w:style>
  <w:style w:type="paragraph" w:styleId="ListParagraph">
    <w:name w:val="List Paragraph"/>
    <w:basedOn w:val="Normal"/>
    <w:link w:val="ListParagraphChar"/>
    <w:uiPriority w:val="34"/>
    <w:qFormat/>
    <w:rsid w:val="004A4617"/>
    <w:pPr>
      <w:ind w:left="720"/>
    </w:pPr>
    <w:rPr>
      <w:rFonts w:ascii="Calibri" w:eastAsia="SimSun" w:hAnsi="Calibri" w:cs="Calibri"/>
      <w:snapToGrid/>
      <w:sz w:val="22"/>
      <w:szCs w:val="22"/>
      <w:lang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eastAsia="en-US"/>
    </w:rPr>
  </w:style>
  <w:style w:type="paragraph" w:styleId="Revision">
    <w:name w:val="Revision"/>
    <w:hidden/>
    <w:rsid w:val="00741491"/>
    <w:rPr>
      <w:snapToGrid w:val="0"/>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504878"/>
    <w:pPr>
      <w:numPr>
        <w:ilvl w:val="1"/>
        <w:numId w:val="2"/>
      </w:numPr>
      <w:jc w:val="both"/>
    </w:pPr>
    <w:rPr>
      <w:sz w:val="24"/>
      <w:szCs w:val="24"/>
      <w:lang w:eastAsia="x-none"/>
    </w:rPr>
  </w:style>
  <w:style w:type="character" w:customStyle="1" w:styleId="paragraphChar">
    <w:name w:val="paragraph Char"/>
    <w:link w:val="paragraph"/>
    <w:rsid w:val="00504878"/>
    <w:rPr>
      <w:snapToGrid w:val="0"/>
      <w:sz w:val="24"/>
      <w:szCs w:val="24"/>
      <w:lang w:val="cs-CZ" w:eastAsia="x-none"/>
    </w:rPr>
  </w:style>
  <w:style w:type="numbering" w:customStyle="1" w:styleId="PartI">
    <w:name w:val="Part I"/>
    <w:uiPriority w:val="99"/>
    <w:rsid w:val="00504878"/>
    <w:pPr>
      <w:numPr>
        <w:numId w:val="2"/>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E07705"/>
    <w:rPr>
      <w:snapToGrid w:val="0"/>
      <w:lang w:val="cs-CZ"/>
    </w:rPr>
  </w:style>
  <w:style w:type="character" w:customStyle="1" w:styleId="ListParagraphChar">
    <w:name w:val="List Paragraph Char"/>
    <w:link w:val="ListParagraph"/>
    <w:uiPriority w:val="34"/>
    <w:rsid w:val="00E07705"/>
    <w:rPr>
      <w:rFonts w:ascii="Calibri" w:eastAsia="SimSun" w:hAnsi="Calibri" w:cs="Calibri"/>
      <w:sz w:val="22"/>
      <w:szCs w:val="22"/>
      <w:lang w:eastAsia="en-US"/>
    </w:rPr>
  </w:style>
  <w:style w:type="paragraph" w:customStyle="1" w:styleId="1">
    <w:name w:val="1"/>
    <w:basedOn w:val="Normal"/>
    <w:link w:val="FootnoteReference"/>
    <w:uiPriority w:val="99"/>
    <w:qFormat/>
    <w:rsid w:val="00E07705"/>
    <w:pPr>
      <w:spacing w:after="160" w:line="240" w:lineRule="exact"/>
      <w:jc w:val="both"/>
    </w:pPr>
    <w:rPr>
      <w:snapToGrid/>
    </w:rPr>
  </w:style>
  <w:style w:type="character" w:customStyle="1" w:styleId="Heading4Char">
    <w:name w:val="Heading 4 Char"/>
    <w:basedOn w:val="DefaultParagraphFont"/>
    <w:link w:val="Heading4"/>
    <w:uiPriority w:val="9"/>
    <w:rsid w:val="001F1C6C"/>
    <w:rPr>
      <w:snapToGrid w:val="0"/>
      <w:sz w:val="24"/>
      <w:lang w:val="cs-CZ"/>
    </w:rPr>
  </w:style>
  <w:style w:type="character" w:customStyle="1" w:styleId="Heading5Char">
    <w:name w:val="Heading 5 Char"/>
    <w:basedOn w:val="DefaultParagraphFont"/>
    <w:link w:val="Heading5"/>
    <w:uiPriority w:val="9"/>
    <w:rsid w:val="00993C4A"/>
    <w:rPr>
      <w:rFonts w:ascii="Arial" w:hAnsi="Arial"/>
      <w:snapToGrid w:val="0"/>
      <w:sz w:val="22"/>
      <w:lang w:val="cs-CZ"/>
    </w:rPr>
  </w:style>
  <w:style w:type="character" w:customStyle="1" w:styleId="Heading1Char">
    <w:name w:val="Heading 1 Char"/>
    <w:basedOn w:val="DefaultParagraphFont"/>
    <w:link w:val="Heading1"/>
    <w:rsid w:val="003B3D8F"/>
    <w:rPr>
      <w:b/>
      <w:smallCaps/>
      <w:snapToGrid w:val="0"/>
      <w:sz w:val="24"/>
      <w:lang w:val="cs-CZ"/>
    </w:rPr>
  </w:style>
  <w:style w:type="character" w:customStyle="1" w:styleId="Heading2Char">
    <w:name w:val="Heading 2 Char"/>
    <w:basedOn w:val="DefaultParagraphFont"/>
    <w:link w:val="Heading2"/>
    <w:uiPriority w:val="9"/>
    <w:rsid w:val="003B3D8F"/>
    <w:rPr>
      <w:b/>
      <w:snapToGrid w:val="0"/>
      <w:sz w:val="24"/>
      <w:lang w:val="cs-CZ"/>
    </w:rPr>
  </w:style>
  <w:style w:type="character" w:customStyle="1" w:styleId="Heading3Char">
    <w:name w:val="Heading 3 Char"/>
    <w:basedOn w:val="DefaultParagraphFont"/>
    <w:link w:val="Heading3"/>
    <w:uiPriority w:val="9"/>
    <w:rsid w:val="003B3D8F"/>
    <w:rPr>
      <w:i/>
      <w:snapToGrid w:val="0"/>
      <w:sz w:val="24"/>
      <w:lang w:val="cs-CZ"/>
    </w:rPr>
  </w:style>
  <w:style w:type="character" w:customStyle="1" w:styleId="Heading6Char">
    <w:name w:val="Heading 6 Char"/>
    <w:basedOn w:val="DefaultParagraphFont"/>
    <w:link w:val="Heading6"/>
    <w:uiPriority w:val="9"/>
    <w:rsid w:val="003B3D8F"/>
    <w:rPr>
      <w:rFonts w:ascii="Arial" w:hAnsi="Arial"/>
      <w:i/>
      <w:snapToGrid w:val="0"/>
      <w:sz w:val="22"/>
      <w:lang w:val="cs-CZ"/>
    </w:rPr>
  </w:style>
  <w:style w:type="character" w:customStyle="1" w:styleId="HeaderChar">
    <w:name w:val="Header Char"/>
    <w:basedOn w:val="DefaultParagraphFont"/>
    <w:link w:val="Header"/>
    <w:rsid w:val="003B3D8F"/>
    <w:rPr>
      <w:snapToGrid w:val="0"/>
      <w:sz w:val="24"/>
      <w:lang w:val="cs-CZ"/>
    </w:rPr>
  </w:style>
  <w:style w:type="character" w:customStyle="1" w:styleId="FooterChar">
    <w:name w:val="Footer Char"/>
    <w:basedOn w:val="DefaultParagraphFont"/>
    <w:link w:val="Footer"/>
    <w:uiPriority w:val="99"/>
    <w:rsid w:val="003B3D8F"/>
    <w:rPr>
      <w:snapToGrid w:val="0"/>
      <w:lang w:val="cs-CZ"/>
    </w:rPr>
  </w:style>
  <w:style w:type="paragraph" w:customStyle="1" w:styleId="Contact">
    <w:name w:val="Contact"/>
    <w:basedOn w:val="Normal"/>
    <w:next w:val="Normal"/>
    <w:rsid w:val="003B3D8F"/>
    <w:pPr>
      <w:spacing w:before="480" w:after="200"/>
      <w:ind w:left="567" w:hanging="567"/>
    </w:pPr>
    <w:rPr>
      <w:snapToGrid/>
      <w:sz w:val="24"/>
      <w:lang w:eastAsia="en-US"/>
    </w:rPr>
  </w:style>
  <w:style w:type="paragraph" w:styleId="ListBullet">
    <w:name w:val="List Bullet"/>
    <w:basedOn w:val="Normal"/>
    <w:link w:val="ListBulletChar"/>
    <w:rsid w:val="003B3D8F"/>
    <w:pPr>
      <w:numPr>
        <w:numId w:val="13"/>
      </w:numPr>
      <w:spacing w:after="240"/>
      <w:jc w:val="both"/>
    </w:pPr>
    <w:rPr>
      <w:snapToGrid/>
      <w:sz w:val="24"/>
      <w:lang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eastAsia="en-US"/>
    </w:rPr>
  </w:style>
  <w:style w:type="paragraph" w:styleId="ListBullet2">
    <w:name w:val="List Bullet 2"/>
    <w:basedOn w:val="Normal"/>
    <w:rsid w:val="003B3D8F"/>
    <w:pPr>
      <w:numPr>
        <w:numId w:val="15"/>
      </w:numPr>
      <w:spacing w:after="240"/>
      <w:jc w:val="both"/>
    </w:pPr>
    <w:rPr>
      <w:snapToGrid/>
      <w:sz w:val="24"/>
      <w:lang w:eastAsia="en-US"/>
    </w:rPr>
  </w:style>
  <w:style w:type="paragraph" w:styleId="ListBullet3">
    <w:name w:val="List Bullet 3"/>
    <w:basedOn w:val="Normal"/>
    <w:rsid w:val="003B3D8F"/>
    <w:pPr>
      <w:numPr>
        <w:numId w:val="16"/>
      </w:numPr>
      <w:spacing w:after="240"/>
      <w:jc w:val="both"/>
    </w:pPr>
    <w:rPr>
      <w:snapToGrid/>
      <w:sz w:val="24"/>
      <w:lang w:eastAsia="en-US"/>
    </w:rPr>
  </w:style>
  <w:style w:type="paragraph" w:styleId="ListBullet4">
    <w:name w:val="List Bullet 4"/>
    <w:basedOn w:val="Normal"/>
    <w:rsid w:val="003B3D8F"/>
    <w:pPr>
      <w:numPr>
        <w:numId w:val="17"/>
      </w:numPr>
      <w:spacing w:after="240"/>
      <w:jc w:val="both"/>
    </w:pPr>
    <w:rPr>
      <w:snapToGrid/>
      <w:sz w:val="24"/>
      <w:lang w:eastAsia="en-US"/>
    </w:rPr>
  </w:style>
  <w:style w:type="paragraph" w:customStyle="1" w:styleId="ListDash">
    <w:name w:val="List Dash"/>
    <w:basedOn w:val="Normal"/>
    <w:rsid w:val="003B3D8F"/>
    <w:pPr>
      <w:numPr>
        <w:numId w:val="18"/>
      </w:numPr>
      <w:spacing w:after="240"/>
      <w:jc w:val="both"/>
    </w:pPr>
    <w:rPr>
      <w:snapToGrid/>
      <w:sz w:val="24"/>
      <w:lang w:eastAsia="en-US"/>
    </w:rPr>
  </w:style>
  <w:style w:type="paragraph" w:customStyle="1" w:styleId="ListDash1">
    <w:name w:val="List Dash 1"/>
    <w:basedOn w:val="Normal"/>
    <w:rsid w:val="003B3D8F"/>
    <w:pPr>
      <w:numPr>
        <w:numId w:val="19"/>
      </w:numPr>
      <w:spacing w:after="240"/>
      <w:jc w:val="both"/>
    </w:pPr>
    <w:rPr>
      <w:snapToGrid/>
      <w:sz w:val="24"/>
      <w:lang w:eastAsia="en-US"/>
    </w:rPr>
  </w:style>
  <w:style w:type="paragraph" w:customStyle="1" w:styleId="ListDash2">
    <w:name w:val="List Dash 2"/>
    <w:basedOn w:val="Normal"/>
    <w:rsid w:val="003B3D8F"/>
    <w:pPr>
      <w:numPr>
        <w:numId w:val="20"/>
      </w:numPr>
      <w:spacing w:after="240"/>
      <w:jc w:val="both"/>
    </w:pPr>
    <w:rPr>
      <w:snapToGrid/>
      <w:sz w:val="24"/>
      <w:lang w:eastAsia="en-US"/>
    </w:rPr>
  </w:style>
  <w:style w:type="paragraph" w:customStyle="1" w:styleId="ListDash3">
    <w:name w:val="List Dash 3"/>
    <w:basedOn w:val="Normal"/>
    <w:rsid w:val="003B3D8F"/>
    <w:pPr>
      <w:numPr>
        <w:numId w:val="21"/>
      </w:numPr>
      <w:spacing w:after="240"/>
      <w:jc w:val="both"/>
    </w:pPr>
    <w:rPr>
      <w:snapToGrid/>
      <w:sz w:val="24"/>
      <w:lang w:eastAsia="en-US"/>
    </w:rPr>
  </w:style>
  <w:style w:type="paragraph" w:customStyle="1" w:styleId="ListDash4">
    <w:name w:val="List Dash 4"/>
    <w:basedOn w:val="Normal"/>
    <w:rsid w:val="003B3D8F"/>
    <w:pPr>
      <w:numPr>
        <w:numId w:val="22"/>
      </w:numPr>
      <w:spacing w:after="240"/>
      <w:jc w:val="both"/>
    </w:pPr>
    <w:rPr>
      <w:snapToGrid/>
      <w:sz w:val="24"/>
      <w:lang w:eastAsia="en-US"/>
    </w:rPr>
  </w:style>
  <w:style w:type="paragraph" w:styleId="ListNumber">
    <w:name w:val="List Number"/>
    <w:basedOn w:val="Normal"/>
    <w:rsid w:val="003B3D8F"/>
    <w:pPr>
      <w:numPr>
        <w:numId w:val="23"/>
      </w:numPr>
      <w:spacing w:after="240"/>
      <w:jc w:val="both"/>
    </w:pPr>
    <w:rPr>
      <w:snapToGrid/>
      <w:sz w:val="24"/>
      <w:lang w:eastAsia="en-US"/>
    </w:rPr>
  </w:style>
  <w:style w:type="paragraph" w:customStyle="1" w:styleId="ListNumber1">
    <w:name w:val="List Number 1"/>
    <w:basedOn w:val="Normal"/>
    <w:rsid w:val="003B3D8F"/>
    <w:pPr>
      <w:numPr>
        <w:numId w:val="24"/>
      </w:numPr>
      <w:spacing w:after="240"/>
      <w:jc w:val="both"/>
    </w:pPr>
    <w:rPr>
      <w:snapToGrid/>
      <w:sz w:val="24"/>
      <w:lang w:eastAsia="en-US"/>
    </w:rPr>
  </w:style>
  <w:style w:type="paragraph" w:styleId="ListNumber2">
    <w:name w:val="List Number 2"/>
    <w:basedOn w:val="Normal"/>
    <w:rsid w:val="003B3D8F"/>
    <w:pPr>
      <w:numPr>
        <w:numId w:val="25"/>
      </w:numPr>
      <w:spacing w:after="240"/>
      <w:jc w:val="both"/>
    </w:pPr>
    <w:rPr>
      <w:snapToGrid/>
      <w:sz w:val="24"/>
      <w:lang w:eastAsia="en-US"/>
    </w:rPr>
  </w:style>
  <w:style w:type="paragraph" w:styleId="ListNumber3">
    <w:name w:val="List Number 3"/>
    <w:basedOn w:val="Normal"/>
    <w:rsid w:val="003B3D8F"/>
    <w:pPr>
      <w:numPr>
        <w:numId w:val="26"/>
      </w:numPr>
      <w:spacing w:after="240"/>
      <w:jc w:val="both"/>
    </w:pPr>
    <w:rPr>
      <w:snapToGrid/>
      <w:sz w:val="24"/>
      <w:lang w:eastAsia="en-US"/>
    </w:rPr>
  </w:style>
  <w:style w:type="paragraph" w:styleId="ListNumber4">
    <w:name w:val="List Number 4"/>
    <w:basedOn w:val="Normal"/>
    <w:rsid w:val="003B3D8F"/>
    <w:pPr>
      <w:numPr>
        <w:numId w:val="27"/>
      </w:numPr>
      <w:spacing w:after="240"/>
      <w:jc w:val="both"/>
    </w:pPr>
    <w:rPr>
      <w:snapToGrid/>
      <w:sz w:val="24"/>
      <w:lang w:eastAsia="en-US"/>
    </w:rPr>
  </w:style>
  <w:style w:type="paragraph" w:customStyle="1" w:styleId="ListNumberLevel2">
    <w:name w:val="List Number (Level 2)"/>
    <w:basedOn w:val="Normal"/>
    <w:rsid w:val="003B3D8F"/>
    <w:pPr>
      <w:numPr>
        <w:ilvl w:val="1"/>
        <w:numId w:val="23"/>
      </w:numPr>
      <w:spacing w:after="240"/>
      <w:jc w:val="both"/>
    </w:pPr>
    <w:rPr>
      <w:snapToGrid/>
      <w:sz w:val="24"/>
      <w:lang w:eastAsia="en-US"/>
    </w:rPr>
  </w:style>
  <w:style w:type="paragraph" w:customStyle="1" w:styleId="ListNumber1Level2">
    <w:name w:val="List Number 1 (Level 2)"/>
    <w:basedOn w:val="Normal"/>
    <w:rsid w:val="003B3D8F"/>
    <w:pPr>
      <w:numPr>
        <w:ilvl w:val="1"/>
        <w:numId w:val="24"/>
      </w:numPr>
      <w:spacing w:after="240"/>
      <w:jc w:val="both"/>
    </w:pPr>
    <w:rPr>
      <w:snapToGrid/>
      <w:sz w:val="24"/>
      <w:lang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eastAsia="en-US"/>
    </w:rPr>
  </w:style>
  <w:style w:type="paragraph" w:customStyle="1" w:styleId="ListNumber3Level2">
    <w:name w:val="List Number 3 (Level 2)"/>
    <w:basedOn w:val="Normal"/>
    <w:rsid w:val="003B3D8F"/>
    <w:pPr>
      <w:numPr>
        <w:ilvl w:val="1"/>
        <w:numId w:val="26"/>
      </w:numPr>
      <w:spacing w:after="240"/>
      <w:jc w:val="both"/>
    </w:pPr>
    <w:rPr>
      <w:snapToGrid/>
      <w:sz w:val="24"/>
      <w:lang w:eastAsia="en-US"/>
    </w:rPr>
  </w:style>
  <w:style w:type="paragraph" w:customStyle="1" w:styleId="ListNumber4Level2">
    <w:name w:val="List Number 4 (Level 2)"/>
    <w:basedOn w:val="Normal"/>
    <w:rsid w:val="003B3D8F"/>
    <w:pPr>
      <w:numPr>
        <w:ilvl w:val="1"/>
        <w:numId w:val="27"/>
      </w:numPr>
      <w:spacing w:after="240"/>
      <w:jc w:val="both"/>
    </w:pPr>
    <w:rPr>
      <w:snapToGrid/>
      <w:sz w:val="24"/>
      <w:lang w:eastAsia="en-US"/>
    </w:rPr>
  </w:style>
  <w:style w:type="paragraph" w:customStyle="1" w:styleId="ListNumberLevel3">
    <w:name w:val="List Number (Level 3)"/>
    <w:basedOn w:val="Normal"/>
    <w:rsid w:val="003B3D8F"/>
    <w:pPr>
      <w:numPr>
        <w:ilvl w:val="2"/>
        <w:numId w:val="23"/>
      </w:numPr>
      <w:spacing w:after="240"/>
      <w:jc w:val="both"/>
    </w:pPr>
    <w:rPr>
      <w:snapToGrid/>
      <w:sz w:val="24"/>
      <w:lang w:eastAsia="en-US"/>
    </w:rPr>
  </w:style>
  <w:style w:type="paragraph" w:customStyle="1" w:styleId="ListNumber1Level3">
    <w:name w:val="List Number 1 (Level 3)"/>
    <w:basedOn w:val="Normal"/>
    <w:rsid w:val="003B3D8F"/>
    <w:pPr>
      <w:numPr>
        <w:ilvl w:val="2"/>
        <w:numId w:val="24"/>
      </w:numPr>
      <w:spacing w:after="240"/>
      <w:jc w:val="both"/>
    </w:pPr>
    <w:rPr>
      <w:snapToGrid/>
      <w:sz w:val="24"/>
      <w:lang w:eastAsia="en-US"/>
    </w:rPr>
  </w:style>
  <w:style w:type="paragraph" w:customStyle="1" w:styleId="ListNumber2Level3">
    <w:name w:val="List Number 2 (Level 3)"/>
    <w:basedOn w:val="Normal"/>
    <w:rsid w:val="003B3D8F"/>
    <w:pPr>
      <w:numPr>
        <w:ilvl w:val="2"/>
        <w:numId w:val="25"/>
      </w:numPr>
      <w:spacing w:after="240"/>
      <w:jc w:val="both"/>
    </w:pPr>
    <w:rPr>
      <w:snapToGrid/>
      <w:sz w:val="24"/>
      <w:lang w:eastAsia="en-US"/>
    </w:rPr>
  </w:style>
  <w:style w:type="paragraph" w:customStyle="1" w:styleId="ListNumber3Level3">
    <w:name w:val="List Number 3 (Level 3)"/>
    <w:basedOn w:val="Normal"/>
    <w:rsid w:val="003B3D8F"/>
    <w:pPr>
      <w:numPr>
        <w:ilvl w:val="2"/>
        <w:numId w:val="26"/>
      </w:numPr>
      <w:spacing w:after="240"/>
      <w:jc w:val="both"/>
    </w:pPr>
    <w:rPr>
      <w:snapToGrid/>
      <w:sz w:val="24"/>
      <w:lang w:eastAsia="en-US"/>
    </w:rPr>
  </w:style>
  <w:style w:type="paragraph" w:customStyle="1" w:styleId="ListNumber4Level3">
    <w:name w:val="List Number 4 (Level 3)"/>
    <w:basedOn w:val="Normal"/>
    <w:rsid w:val="003B3D8F"/>
    <w:pPr>
      <w:numPr>
        <w:ilvl w:val="2"/>
        <w:numId w:val="27"/>
      </w:numPr>
      <w:spacing w:after="240"/>
      <w:jc w:val="both"/>
    </w:pPr>
    <w:rPr>
      <w:snapToGrid/>
      <w:sz w:val="24"/>
      <w:lang w:eastAsia="en-US"/>
    </w:rPr>
  </w:style>
  <w:style w:type="paragraph" w:customStyle="1" w:styleId="ListNumberLevel4">
    <w:name w:val="List Number (Level 4)"/>
    <w:basedOn w:val="Normal"/>
    <w:rsid w:val="003B3D8F"/>
    <w:pPr>
      <w:numPr>
        <w:ilvl w:val="3"/>
        <w:numId w:val="23"/>
      </w:numPr>
      <w:spacing w:after="240"/>
      <w:jc w:val="both"/>
    </w:pPr>
    <w:rPr>
      <w:snapToGrid/>
      <w:sz w:val="24"/>
      <w:lang w:eastAsia="en-US"/>
    </w:rPr>
  </w:style>
  <w:style w:type="paragraph" w:customStyle="1" w:styleId="ListNumber1Level4">
    <w:name w:val="List Number 1 (Level 4)"/>
    <w:basedOn w:val="Normal"/>
    <w:rsid w:val="003B3D8F"/>
    <w:pPr>
      <w:numPr>
        <w:ilvl w:val="3"/>
        <w:numId w:val="24"/>
      </w:numPr>
      <w:spacing w:after="240"/>
      <w:jc w:val="both"/>
    </w:pPr>
    <w:rPr>
      <w:snapToGrid/>
      <w:sz w:val="24"/>
      <w:lang w:eastAsia="en-US"/>
    </w:rPr>
  </w:style>
  <w:style w:type="paragraph" w:customStyle="1" w:styleId="ListNumber2Level4">
    <w:name w:val="List Number 2 (Level 4)"/>
    <w:basedOn w:val="Normal"/>
    <w:rsid w:val="003B3D8F"/>
    <w:pPr>
      <w:numPr>
        <w:ilvl w:val="3"/>
        <w:numId w:val="25"/>
      </w:numPr>
      <w:spacing w:after="240"/>
      <w:jc w:val="both"/>
    </w:pPr>
    <w:rPr>
      <w:snapToGrid/>
      <w:sz w:val="24"/>
      <w:lang w:eastAsia="en-US"/>
    </w:rPr>
  </w:style>
  <w:style w:type="paragraph" w:customStyle="1" w:styleId="ListNumber3Level4">
    <w:name w:val="List Number 3 (Level 4)"/>
    <w:basedOn w:val="Normal"/>
    <w:rsid w:val="003B3D8F"/>
    <w:pPr>
      <w:numPr>
        <w:ilvl w:val="3"/>
        <w:numId w:val="26"/>
      </w:numPr>
      <w:spacing w:after="240"/>
      <w:jc w:val="both"/>
    </w:pPr>
    <w:rPr>
      <w:snapToGrid/>
      <w:sz w:val="24"/>
      <w:lang w:eastAsia="en-US"/>
    </w:rPr>
  </w:style>
  <w:style w:type="paragraph" w:customStyle="1" w:styleId="ListNumber4Level4">
    <w:name w:val="List Number 4 (Level 4)"/>
    <w:basedOn w:val="Normal"/>
    <w:rsid w:val="003B3D8F"/>
    <w:pPr>
      <w:numPr>
        <w:ilvl w:val="3"/>
        <w:numId w:val="27"/>
      </w:numPr>
      <w:spacing w:after="240"/>
      <w:jc w:val="both"/>
    </w:pPr>
    <w:rPr>
      <w:snapToGrid/>
      <w:sz w:val="24"/>
      <w:lang w:eastAsia="en-US"/>
    </w:rPr>
  </w:style>
  <w:style w:type="paragraph" w:styleId="TOC5">
    <w:name w:val="toc 5"/>
    <w:basedOn w:val="Normal"/>
    <w:next w:val="Normal"/>
    <w:autoRedefine/>
    <w:uiPriority w:val="39"/>
    <w:qFormat/>
    <w:rsid w:val="003B3D8F"/>
    <w:pPr>
      <w:tabs>
        <w:tab w:val="right" w:leader="dot" w:pos="8789"/>
      </w:tabs>
      <w:spacing w:before="60" w:after="60"/>
      <w:ind w:left="2126" w:right="567" w:hanging="567"/>
      <w:jc w:val="both"/>
    </w:pPr>
    <w:rPr>
      <w:snapToGrid/>
      <w:lang w:eastAsia="en-US"/>
    </w:rPr>
  </w:style>
  <w:style w:type="paragraph" w:styleId="TOCHeading">
    <w:name w:val="TOC Heading"/>
    <w:basedOn w:val="Normal"/>
    <w:next w:val="Normal"/>
    <w:uiPriority w:val="39"/>
    <w:qFormat/>
    <w:rsid w:val="003B3D8F"/>
    <w:pPr>
      <w:keepNext/>
      <w:spacing w:before="240" w:after="240"/>
      <w:jc w:val="center"/>
    </w:pPr>
    <w:rPr>
      <w:b/>
      <w:snapToGrid/>
      <w:sz w:val="24"/>
      <w:lang w:eastAsia="en-US"/>
    </w:rPr>
  </w:style>
  <w:style w:type="paragraph" w:styleId="TOC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eastAsia="en-US"/>
    </w:rPr>
  </w:style>
  <w:style w:type="paragraph" w:styleId="TOC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eastAsia="en-US"/>
    </w:rPr>
  </w:style>
  <w:style w:type="paragraph" w:styleId="TOC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eastAsia="en-US"/>
    </w:rPr>
  </w:style>
  <w:style w:type="paragraph" w:styleId="TOC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rPr>
  </w:style>
  <w:style w:type="character" w:customStyle="1" w:styleId="BalloonTextChar">
    <w:name w:val="Balloon Text Char"/>
    <w:basedOn w:val="DefaultParagraphFont"/>
    <w:link w:val="BalloonText"/>
    <w:rsid w:val="003B3D8F"/>
    <w:rPr>
      <w:rFonts w:ascii="Tahoma" w:hAnsi="Tahoma" w:cs="Tahoma"/>
      <w:snapToGrid w:val="0"/>
      <w:sz w:val="16"/>
      <w:szCs w:val="16"/>
      <w:lang w:val="cs-CZ"/>
    </w:rPr>
  </w:style>
  <w:style w:type="paragraph" w:customStyle="1" w:styleId="Annex">
    <w:name w:val="Annex"/>
    <w:basedOn w:val="Heading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rPr>
  </w:style>
  <w:style w:type="paragraph" w:customStyle="1" w:styleId="TableParagraph">
    <w:name w:val="Table Paragraph"/>
    <w:basedOn w:val="Normal"/>
    <w:uiPriority w:val="1"/>
    <w:rsid w:val="003B3D8F"/>
    <w:pPr>
      <w:widowControl w:val="0"/>
      <w:spacing w:after="200"/>
    </w:pPr>
    <w:rPr>
      <w:rFonts w:eastAsia="Calibri"/>
      <w:snapToGrid/>
      <w:sz w:val="24"/>
      <w:szCs w:val="22"/>
      <w:lang w:eastAsia="en-US"/>
    </w:rPr>
  </w:style>
  <w:style w:type="table" w:customStyle="1" w:styleId="TableGrid1">
    <w:name w:val="Table Grid1"/>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DefaultParagraphFont"/>
    <w:uiPriority w:val="99"/>
    <w:semiHidden/>
    <w:unhideWhenUsed/>
    <w:rsid w:val="003B3D8F"/>
    <w:rPr>
      <w:color w:val="800080"/>
      <w:u w:val="single"/>
    </w:rPr>
  </w:style>
  <w:style w:type="paragraph" w:customStyle="1" w:styleId="Subarticle">
    <w:name w:val="Subarticle"/>
    <w:basedOn w:val="Heading5"/>
    <w:link w:val="SubarticleChar"/>
    <w:rsid w:val="003B3D8F"/>
    <w:pPr>
      <w:spacing w:before="0" w:after="0"/>
      <w:ind w:left="720" w:hanging="720"/>
    </w:pPr>
    <w:rPr>
      <w:rFonts w:ascii="Times New Roman" w:hAnsi="Times New Roman"/>
      <w:b/>
      <w:snapToGrid/>
      <w:sz w:val="24"/>
      <w:szCs w:val="24"/>
    </w:rPr>
  </w:style>
  <w:style w:type="character" w:customStyle="1" w:styleId="SubarticleChar">
    <w:name w:val="Subarticle Char"/>
    <w:link w:val="Subarticle"/>
    <w:rsid w:val="003B3D8F"/>
    <w:rPr>
      <w:b/>
      <w:sz w:val="24"/>
      <w:szCs w:val="24"/>
    </w:rPr>
  </w:style>
  <w:style w:type="paragraph" w:customStyle="1" w:styleId="Article">
    <w:name w:val="Article"/>
    <w:basedOn w:val="Heading4"/>
    <w:link w:val="ArticleChar"/>
    <w:rsid w:val="003B3D8F"/>
    <w:pPr>
      <w:spacing w:after="0"/>
      <w:ind w:left="1865" w:hanging="1865"/>
    </w:pPr>
    <w:rPr>
      <w:rFonts w:ascii="Times New Roman Bold" w:hAnsi="Times New Roman Bold"/>
      <w:b/>
      <w:bCs/>
      <w:caps/>
      <w:snapToGrid/>
      <w:szCs w:val="24"/>
      <w:lang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eastAsia="en-US"/>
    </w:rPr>
  </w:style>
  <w:style w:type="table" w:customStyle="1" w:styleId="TableGrid11">
    <w:name w:val="Table Grid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Heading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eastAsia="en-US"/>
    </w:rPr>
  </w:style>
  <w:style w:type="table" w:customStyle="1" w:styleId="TableGrid2">
    <w:name w:val="Table Grid2"/>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B3D8F"/>
    <w:pPr>
      <w:jc w:val="both"/>
    </w:pPr>
    <w:rPr>
      <w:rFonts w:eastAsia="Calibri"/>
      <w:snapToGrid/>
      <w:sz w:val="24"/>
      <w:szCs w:val="22"/>
      <w:lang w:eastAsia="en-US"/>
    </w:rPr>
  </w:style>
  <w:style w:type="table" w:customStyle="1" w:styleId="TableGrid3">
    <w:name w:val="Table Grid3"/>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efaultParagraphFont"/>
    <w:link w:val="Bodytext10"/>
    <w:rsid w:val="003B3D8F"/>
  </w:style>
  <w:style w:type="paragraph" w:customStyle="1" w:styleId="Bodytext10">
    <w:name w:val="Body text|1"/>
    <w:basedOn w:val="Normal"/>
    <w:link w:val="Bodytext1"/>
    <w:rsid w:val="003B3D8F"/>
    <w:pPr>
      <w:widowControl w:val="0"/>
      <w:spacing w:after="180"/>
    </w:pPr>
    <w:rPr>
      <w:snapToGrid/>
    </w:rPr>
  </w:style>
  <w:style w:type="character" w:customStyle="1" w:styleId="WW8Num10z3">
    <w:name w:val="WW8Num10z3"/>
    <w:rsid w:val="003B3D8F"/>
    <w:rPr>
      <w:rFonts w:ascii="Symbol" w:hAnsi="Symbol" w:cs="Symbol" w:hint="default"/>
    </w:rPr>
  </w:style>
  <w:style w:type="character" w:customStyle="1" w:styleId="Footnote1">
    <w:name w:val="Footnote|1_"/>
    <w:basedOn w:val="DefaultParagraphFont"/>
    <w:link w:val="Footnote10"/>
    <w:rsid w:val="003B3D8F"/>
  </w:style>
  <w:style w:type="character" w:customStyle="1" w:styleId="Other1">
    <w:name w:val="Other|1_"/>
    <w:basedOn w:val="DefaultParagraphFont"/>
    <w:link w:val="Other10"/>
    <w:rsid w:val="003B3D8F"/>
  </w:style>
  <w:style w:type="character" w:customStyle="1" w:styleId="Headerorfooter2">
    <w:name w:val="Header or footer|2_"/>
    <w:basedOn w:val="DefaultParagraphFont"/>
    <w:link w:val="Headerorfooter20"/>
    <w:rsid w:val="003B3D8F"/>
  </w:style>
  <w:style w:type="character" w:customStyle="1" w:styleId="Heading31">
    <w:name w:val="Heading #3|1_"/>
    <w:basedOn w:val="DefaultParagraphFont"/>
    <w:link w:val="Heading310"/>
    <w:rsid w:val="003B3D8F"/>
    <w:rPr>
      <w:b/>
      <w:bCs/>
    </w:rPr>
  </w:style>
  <w:style w:type="character" w:customStyle="1" w:styleId="Bodytext2">
    <w:name w:val="Body text|2_"/>
    <w:basedOn w:val="DefaultParagraphFont"/>
    <w:link w:val="Bodytext20"/>
    <w:rsid w:val="003B3D8F"/>
  </w:style>
  <w:style w:type="paragraph" w:customStyle="1" w:styleId="Footnote10">
    <w:name w:val="Footnote|1"/>
    <w:basedOn w:val="Normal"/>
    <w:link w:val="Footnote1"/>
    <w:rsid w:val="003B3D8F"/>
    <w:pPr>
      <w:widowControl w:val="0"/>
      <w:ind w:left="380"/>
    </w:pPr>
    <w:rPr>
      <w:snapToGrid/>
    </w:rPr>
  </w:style>
  <w:style w:type="paragraph" w:customStyle="1" w:styleId="Other10">
    <w:name w:val="Other|1"/>
    <w:basedOn w:val="Normal"/>
    <w:link w:val="Other1"/>
    <w:rsid w:val="003B3D8F"/>
    <w:pPr>
      <w:widowControl w:val="0"/>
      <w:spacing w:after="180"/>
    </w:pPr>
    <w:rPr>
      <w:snapToGrid/>
    </w:rPr>
  </w:style>
  <w:style w:type="paragraph" w:customStyle="1" w:styleId="Headerorfooter20">
    <w:name w:val="Header or footer|2"/>
    <w:basedOn w:val="Normal"/>
    <w:link w:val="Headerorfooter2"/>
    <w:rsid w:val="003B3D8F"/>
    <w:pPr>
      <w:widowControl w:val="0"/>
    </w:pPr>
    <w:rPr>
      <w:snapToGrid/>
    </w:rPr>
  </w:style>
  <w:style w:type="paragraph" w:customStyle="1" w:styleId="Heading310">
    <w:name w:val="Heading #3|1"/>
    <w:basedOn w:val="Normal"/>
    <w:link w:val="Heading31"/>
    <w:rsid w:val="003B3D8F"/>
    <w:pPr>
      <w:widowControl w:val="0"/>
      <w:spacing w:after="180"/>
      <w:outlineLvl w:val="2"/>
    </w:pPr>
    <w:rPr>
      <w:b/>
      <w:bCs/>
      <w:snapToGrid/>
    </w:rPr>
  </w:style>
  <w:style w:type="paragraph" w:customStyle="1" w:styleId="Bodytext20">
    <w:name w:val="Body text|2"/>
    <w:basedOn w:val="Normal"/>
    <w:link w:val="Bodytext2"/>
    <w:rsid w:val="003B3D8F"/>
    <w:pPr>
      <w:widowControl w:val="0"/>
      <w:spacing w:after="100"/>
    </w:pPr>
    <w:rPr>
      <w:snapToGrid/>
    </w:rPr>
  </w:style>
  <w:style w:type="character" w:customStyle="1" w:styleId="Heading41">
    <w:name w:val="Heading #4|1_"/>
    <w:basedOn w:val="DefaultParagraphFon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rPr>
  </w:style>
  <w:style w:type="character" w:customStyle="1" w:styleId="Headerorfooter1">
    <w:name w:val="Header or footer|1_"/>
    <w:basedOn w:val="DefaultParagraphFont"/>
    <w:link w:val="Headerorfooter10"/>
    <w:rsid w:val="003B3D8F"/>
  </w:style>
  <w:style w:type="paragraph" w:customStyle="1" w:styleId="Headerorfooter10">
    <w:name w:val="Header or footer|1"/>
    <w:basedOn w:val="Normal"/>
    <w:link w:val="Headerorfooter1"/>
    <w:rsid w:val="003B3D8F"/>
    <w:pPr>
      <w:widowControl w:val="0"/>
      <w:jc w:val="right"/>
    </w:pPr>
    <w:rPr>
      <w:snapToGrid/>
    </w:rPr>
  </w:style>
  <w:style w:type="character" w:customStyle="1" w:styleId="Tablecaption1">
    <w:name w:val="Table caption|1_"/>
    <w:basedOn w:val="DefaultParagraphFon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rPr>
  </w:style>
  <w:style w:type="character" w:customStyle="1" w:styleId="Heading11">
    <w:name w:val="Heading #1|1_"/>
    <w:basedOn w:val="DefaultParagraphFon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3B3D8F"/>
    <w:rPr>
      <w:sz w:val="16"/>
      <w:szCs w:val="16"/>
    </w:rPr>
  </w:style>
  <w:style w:type="character" w:customStyle="1" w:styleId="Tableofcontents1">
    <w:name w:val="Table of contents|1_"/>
    <w:basedOn w:val="DefaultParagraphFont"/>
    <w:link w:val="Tableofcontents10"/>
    <w:rsid w:val="003B3D8F"/>
  </w:style>
  <w:style w:type="character" w:customStyle="1" w:styleId="Bodytext4">
    <w:name w:val="Body text|4_"/>
    <w:basedOn w:val="DefaultParagraphFont"/>
    <w:link w:val="Bodytext40"/>
    <w:rsid w:val="003B3D8F"/>
    <w:rPr>
      <w:sz w:val="16"/>
      <w:szCs w:val="16"/>
    </w:rPr>
  </w:style>
  <w:style w:type="character" w:customStyle="1" w:styleId="Bodytext5">
    <w:name w:val="Body text|5_"/>
    <w:basedOn w:val="DefaultParagraphFont"/>
    <w:link w:val="Bodytext50"/>
    <w:rsid w:val="003B3D8F"/>
    <w:rPr>
      <w:sz w:val="10"/>
      <w:szCs w:val="10"/>
    </w:rPr>
  </w:style>
  <w:style w:type="character" w:customStyle="1" w:styleId="Bodytext3">
    <w:name w:val="Body text|3_"/>
    <w:basedOn w:val="DefaultParagraphFont"/>
    <w:link w:val="Bodytext30"/>
    <w:rsid w:val="003B3D8F"/>
    <w:rPr>
      <w:sz w:val="18"/>
      <w:szCs w:val="18"/>
    </w:rPr>
  </w:style>
  <w:style w:type="character" w:customStyle="1" w:styleId="Bodytext6">
    <w:name w:val="Body text|6_"/>
    <w:basedOn w:val="DefaultParagraphFon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rPr>
  </w:style>
  <w:style w:type="paragraph" w:customStyle="1" w:styleId="Picturecaption10">
    <w:name w:val="Picture caption|1"/>
    <w:basedOn w:val="Normal"/>
    <w:link w:val="Picturecaption1"/>
    <w:rsid w:val="003B3D8F"/>
    <w:pPr>
      <w:widowControl w:val="0"/>
    </w:pPr>
    <w:rPr>
      <w:snapToGrid/>
      <w:sz w:val="16"/>
      <w:szCs w:val="16"/>
    </w:rPr>
  </w:style>
  <w:style w:type="paragraph" w:customStyle="1" w:styleId="Tableofcontents10">
    <w:name w:val="Table of contents|1"/>
    <w:basedOn w:val="Normal"/>
    <w:link w:val="Tableofcontents1"/>
    <w:rsid w:val="003B3D8F"/>
    <w:pPr>
      <w:widowControl w:val="0"/>
      <w:spacing w:after="40"/>
      <w:ind w:left="1580"/>
    </w:pPr>
    <w:rPr>
      <w:snapToGrid/>
    </w:rPr>
  </w:style>
  <w:style w:type="paragraph" w:customStyle="1" w:styleId="Bodytext40">
    <w:name w:val="Body text|4"/>
    <w:basedOn w:val="Normal"/>
    <w:link w:val="Bodytext4"/>
    <w:rsid w:val="003B3D8F"/>
    <w:pPr>
      <w:widowControl w:val="0"/>
      <w:spacing w:line="228" w:lineRule="auto"/>
      <w:ind w:left="740"/>
    </w:pPr>
    <w:rPr>
      <w:snapToGrid/>
      <w:sz w:val="16"/>
      <w:szCs w:val="16"/>
    </w:rPr>
  </w:style>
  <w:style w:type="paragraph" w:customStyle="1" w:styleId="Bodytext50">
    <w:name w:val="Body text|5"/>
    <w:basedOn w:val="Normal"/>
    <w:link w:val="Bodytext5"/>
    <w:rsid w:val="003B3D8F"/>
    <w:pPr>
      <w:widowControl w:val="0"/>
    </w:pPr>
    <w:rPr>
      <w:snapToGrid/>
      <w:sz w:val="10"/>
      <w:szCs w:val="10"/>
    </w:rPr>
  </w:style>
  <w:style w:type="paragraph" w:customStyle="1" w:styleId="Bodytext30">
    <w:name w:val="Body text|3"/>
    <w:basedOn w:val="Normal"/>
    <w:link w:val="Bodytext3"/>
    <w:rsid w:val="003B3D8F"/>
    <w:pPr>
      <w:widowControl w:val="0"/>
      <w:spacing w:after="100"/>
      <w:ind w:left="1100"/>
    </w:pPr>
    <w:rPr>
      <w:snapToGrid/>
      <w:sz w:val="18"/>
      <w:szCs w:val="18"/>
    </w:rPr>
  </w:style>
  <w:style w:type="paragraph" w:customStyle="1" w:styleId="Bodytext60">
    <w:name w:val="Body text|6"/>
    <w:basedOn w:val="Normal"/>
    <w:link w:val="Bodytext6"/>
    <w:rsid w:val="003B3D8F"/>
    <w:pPr>
      <w:widowControl w:val="0"/>
    </w:pPr>
    <w:rPr>
      <w:snapToGrid/>
      <w:sz w:val="13"/>
      <w:szCs w:val="13"/>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eastAsia="en-US"/>
    </w:rPr>
  </w:style>
  <w:style w:type="character" w:customStyle="1" w:styleId="Voetnoottekens">
    <w:name w:val="Voetnoottekens"/>
    <w:rsid w:val="003B3D8F"/>
    <w:rPr>
      <w:vertAlign w:val="superscript"/>
    </w:rPr>
  </w:style>
  <w:style w:type="character" w:customStyle="1" w:styleId="markedcontent">
    <w:name w:val="markedcontent"/>
    <w:basedOn w:val="DefaultParagraphFon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odyText"/>
    <w:rsid w:val="003B3D8F"/>
    <w:pPr>
      <w:keepNext/>
      <w:suppressAutoHyphens/>
      <w:spacing w:before="240" w:after="120" w:line="276" w:lineRule="auto"/>
    </w:pPr>
    <w:rPr>
      <w:rFonts w:ascii="Arial" w:eastAsia="Microsoft YaHei" w:hAnsi="Arial" w:cs="Mangal"/>
      <w:snapToGrid/>
      <w:sz w:val="28"/>
      <w:szCs w:val="28"/>
      <w:lang w:eastAsia="ar-SA"/>
    </w:rPr>
  </w:style>
  <w:style w:type="paragraph" w:styleId="List">
    <w:name w:val="List"/>
    <w:basedOn w:val="BodyText"/>
    <w:rsid w:val="003B3D8F"/>
    <w:pPr>
      <w:suppressAutoHyphens/>
      <w:spacing w:after="120" w:line="276" w:lineRule="auto"/>
      <w:jc w:val="left"/>
    </w:pPr>
    <w:rPr>
      <w:rFonts w:ascii="Calibri" w:eastAsia="Calibri" w:hAnsi="Calibri" w:cs="Mangal"/>
      <w:snapToGrid/>
      <w:sz w:val="22"/>
      <w:szCs w:val="22"/>
      <w:lang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eastAsia="ar-SA"/>
    </w:rPr>
  </w:style>
  <w:style w:type="character" w:customStyle="1" w:styleId="HeaderChar1">
    <w:name w:val="Header Char1"/>
    <w:basedOn w:val="DefaultParagraphFont"/>
    <w:rsid w:val="003B3D8F"/>
    <w:rPr>
      <w:rFonts w:ascii="Calibri" w:eastAsia="Calibri" w:hAnsi="Calibri"/>
      <w:sz w:val="22"/>
      <w:szCs w:val="22"/>
      <w:lang w:eastAsia="ar-SA"/>
    </w:rPr>
  </w:style>
  <w:style w:type="character" w:customStyle="1" w:styleId="FooterChar1">
    <w:name w:val="Footer Char1"/>
    <w:basedOn w:val="DefaultParagraphFont"/>
    <w:uiPriority w:val="99"/>
    <w:rsid w:val="003B3D8F"/>
    <w:rPr>
      <w:rFonts w:ascii="Calibri" w:eastAsia="Calibri" w:hAnsi="Calibri"/>
      <w:sz w:val="22"/>
      <w:szCs w:val="22"/>
      <w:lang w:eastAsia="ar-SA"/>
    </w:rPr>
  </w:style>
  <w:style w:type="character" w:customStyle="1" w:styleId="BalloonTextChar1">
    <w:name w:val="Balloon Text Char1"/>
    <w:basedOn w:val="DefaultParagraphFon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eastAsia="ar-SA"/>
    </w:rPr>
  </w:style>
  <w:style w:type="character" w:customStyle="1" w:styleId="CommentTextChar1">
    <w:name w:val="Comment Text Char1"/>
    <w:basedOn w:val="DefaultParagraphFon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0">
    <w:name w:val="Heading1"/>
    <w:basedOn w:val="ListBullet"/>
    <w:link w:val="Heading1Char0"/>
    <w:qFormat/>
    <w:rsid w:val="003B3D8F"/>
    <w:pPr>
      <w:numPr>
        <w:numId w:val="0"/>
      </w:numPr>
      <w:suppressAutoHyphens/>
      <w:spacing w:line="100" w:lineRule="atLeast"/>
    </w:pPr>
    <w:rPr>
      <w:b/>
      <w:bCs/>
    </w:rPr>
  </w:style>
  <w:style w:type="paragraph" w:customStyle="1" w:styleId="Heading211">
    <w:name w:val="Heading 21"/>
    <w:basedOn w:val="Heading10"/>
    <w:qFormat/>
    <w:rsid w:val="003B3D8F"/>
    <w:pPr>
      <w:spacing w:before="240"/>
    </w:pPr>
  </w:style>
  <w:style w:type="character" w:customStyle="1" w:styleId="ListBulletChar">
    <w:name w:val="List Bullet Char"/>
    <w:basedOn w:val="DefaultParagraphFont"/>
    <w:link w:val="ListBullet"/>
    <w:rsid w:val="003B3D8F"/>
    <w:rPr>
      <w:sz w:val="24"/>
      <w:lang w:eastAsia="en-US"/>
    </w:rPr>
  </w:style>
  <w:style w:type="character" w:customStyle="1" w:styleId="Heading1Char0">
    <w:name w:val="Heading1 Char"/>
    <w:basedOn w:val="ListBulletChar"/>
    <w:link w:val="Heading10"/>
    <w:rsid w:val="003B3D8F"/>
    <w:rPr>
      <w:b/>
      <w:bCs/>
      <w:sz w:val="24"/>
      <w:lang w:val="cs-CZ" w:eastAsia="en-US"/>
    </w:rPr>
  </w:style>
  <w:style w:type="character" w:customStyle="1" w:styleId="Heading1Char1">
    <w:name w:val="Heading 1 Char1"/>
    <w:basedOn w:val="DefaultParagraphFont"/>
    <w:rsid w:val="003B3D8F"/>
    <w:rPr>
      <w:rFonts w:eastAsia="Calibri"/>
      <w:b/>
      <w:bCs/>
      <w:sz w:val="24"/>
      <w:szCs w:val="28"/>
      <w:lang w:eastAsia="ar-SA"/>
    </w:rPr>
  </w:style>
  <w:style w:type="paragraph" w:styleId="NoSpacing">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DefaultParagraphFont"/>
    <w:rsid w:val="003B3D8F"/>
  </w:style>
  <w:style w:type="table" w:customStyle="1" w:styleId="TableGrid4">
    <w:name w:val="Table Grid4"/>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3B3D8F"/>
  </w:style>
  <w:style w:type="character" w:customStyle="1" w:styleId="UnresolvedMention1">
    <w:name w:val="Unresolved Mention1"/>
    <w:basedOn w:val="DefaultParagraphFont"/>
    <w:uiPriority w:val="99"/>
    <w:semiHidden/>
    <w:unhideWhenUsed/>
    <w:rsid w:val="003B3D8F"/>
    <w:rPr>
      <w:color w:val="605E5C"/>
      <w:shd w:val="clear" w:color="auto" w:fill="E1DFDD"/>
    </w:rPr>
  </w:style>
  <w:style w:type="character" w:styleId="FollowedHyperlink">
    <w:name w:val="FollowedHyperlink"/>
    <w:basedOn w:val="DefaultParagraphFont"/>
    <w:semiHidden/>
    <w:unhideWhenUsed/>
    <w:rsid w:val="003B3D8F"/>
    <w:rPr>
      <w:color w:val="954F72" w:themeColor="followedHyperlink"/>
      <w:u w:val="single"/>
    </w:rPr>
  </w:style>
  <w:style w:type="character" w:customStyle="1" w:styleId="UnresolvedMention2">
    <w:name w:val="Unresolved Mention2"/>
    <w:basedOn w:val="DefaultParagraphFon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erasmus-esc-personal-data"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FA7EDD2C5654FA1E380116FD31A9E" ma:contentTypeVersion="20" ma:contentTypeDescription="Create a new document." ma:contentTypeScope="" ma:versionID="deb4779bdd7fb529bd0bd6300c7081e1">
  <xsd:schema xmlns:xsd="http://www.w3.org/2001/XMLSchema" xmlns:xs="http://www.w3.org/2001/XMLSchema" xmlns:p="http://schemas.microsoft.com/office/2006/metadata/properties" xmlns:ns2="e172ed29-d124-4989-8571-2664322491b9" xmlns:ns3="58e17bcf-5c0b-4fc2-8684-95283feaea88" targetNamespace="http://schemas.microsoft.com/office/2006/metadata/properties" ma:root="true" ma:fieldsID="22c0a02cca760c13b1af4e7c111f40ac" ns2:_="" ns3:_="">
    <xsd:import namespace="e172ed29-d124-4989-8571-2664322491b9"/>
    <xsd:import namespace="58e17bcf-5c0b-4fc2-8684-95283feaea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2ed29-d124-4989-8571-266432249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17bcf-5c0b-4fc2-8684-95283feaea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7c5a5e-f33e-4ef4-a8e6-6b8d95a476bd}" ma:internalName="TaxCatchAll" ma:showField="CatchAllData" ma:web="58e17bcf-5c0b-4fc2-8684-95283feaea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8e17bcf-5c0b-4fc2-8684-95283feaea88" xsi:nil="true"/>
    <lcf76f155ced4ddcb4097134ff3c332f xmlns="e172ed29-d124-4989-8571-2664322491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9634A9BC-1095-46C5-8580-4339973FEFC5}"/>
</file>

<file path=customXml/itemProps4.xml><?xml version="1.0" encoding="utf-8"?>
<ds:datastoreItem xmlns:ds="http://schemas.openxmlformats.org/officeDocument/2006/customXml" ds:itemID="{FB38F6DA-13D5-4E58-80CD-51F685CCE323}"/>
</file>

<file path=customXml/itemProps5.xml><?xml version="1.0" encoding="utf-8"?>
<ds:datastoreItem xmlns:ds="http://schemas.openxmlformats.org/officeDocument/2006/customXml" ds:itemID="{B64DF3EE-9761-4D0C-A718-F7E52446D47D}"/>
</file>

<file path=docProps/app.xml><?xml version="1.0" encoding="utf-8"?>
<Properties xmlns="http://schemas.openxmlformats.org/officeDocument/2006/extended-properties" xmlns:vt="http://schemas.openxmlformats.org/officeDocument/2006/docPropsVTypes">
  <Template>Normal.dotm</Template>
  <TotalTime>0</TotalTime>
  <Pages>10</Pages>
  <Words>2610</Words>
  <Characters>16055</Characters>
  <Application>Microsoft Office Word</Application>
  <DocSecurity>0</DocSecurity>
  <Lines>314</Lines>
  <Paragraphs>207</Paragraphs>
  <ScaleCrop>false</ScaleCrop>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2024-04-23T11:48:00Z</dcterms:created>
  <dcterms:modified xsi:type="dcterms:W3CDTF">2024-05-03T12:49:00Z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0x010100E11FA7EDD2C5654FA1E380116FD31A9E</vt:lpwstr>
  </property>
</Properties>
</file>